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86E0EE">
      <w:pPr>
        <w:pStyle w:val="6"/>
        <w:widowControl/>
        <w:spacing w:before="65" w:line="319" w:lineRule="exact"/>
        <w:ind w:firstLine="2640" w:firstLineChars="1200"/>
        <w:rPr>
          <w:rStyle w:val="7"/>
        </w:rPr>
      </w:pPr>
      <w:r>
        <w:t> </w:t>
      </w:r>
      <w:r>
        <w:rPr>
          <w:rStyle w:val="7"/>
        </w:rPr>
        <w:t>РОССИЙСКАЯ    ФЕДЕРАЦИЯ</w:t>
      </w:r>
    </w:p>
    <w:p w14:paraId="1BA3395E">
      <w:pPr>
        <w:pStyle w:val="6"/>
        <w:widowControl/>
        <w:spacing w:before="65" w:line="319" w:lineRule="exact"/>
        <w:ind w:firstLine="0"/>
        <w:jc w:val="center"/>
        <w:rPr>
          <w:rStyle w:val="7"/>
        </w:rPr>
      </w:pPr>
      <w:r>
        <w:rPr>
          <w:rStyle w:val="7"/>
        </w:rPr>
        <w:t>РОСТОВСКОЙ ОБЛАСТИ МОРОЗОВСКОГО РАЙОНА</w:t>
      </w:r>
    </w:p>
    <w:p w14:paraId="05E57B8A">
      <w:pPr>
        <w:pStyle w:val="6"/>
        <w:widowControl/>
        <w:spacing w:before="65" w:line="319" w:lineRule="exact"/>
        <w:ind w:firstLine="0"/>
        <w:jc w:val="center"/>
        <w:rPr>
          <w:rStyle w:val="7"/>
        </w:rPr>
      </w:pPr>
      <w:r>
        <w:rPr>
          <w:rStyle w:val="7"/>
        </w:rPr>
        <w:t xml:space="preserve"> Муниципальное образование «Парамоновское сельское поселение» АДМИНИСТРАЦИЯ ПАРАМОНОВСКОГО СЕЛЬСКОГО ПОСЕЛЕНИЯ</w:t>
      </w:r>
    </w:p>
    <w:p w14:paraId="04E74339"/>
    <w:p w14:paraId="7D16795C">
      <w:r>
        <w:t> </w:t>
      </w:r>
    </w:p>
    <w:p w14:paraId="41E3BEE1">
      <w:pPr>
        <w:pStyle w:val="8"/>
        <w:widowControl/>
        <w:spacing w:before="209"/>
        <w:ind w:left="0" w:leftChars="0" w:firstLine="2801" w:firstLineChars="1000"/>
        <w:jc w:val="both"/>
        <w:rPr>
          <w:rStyle w:val="9"/>
          <w:sz w:val="28"/>
          <w:szCs w:val="28"/>
        </w:rPr>
      </w:pPr>
      <w:r>
        <w:rPr>
          <w:rStyle w:val="9"/>
          <w:sz w:val="28"/>
          <w:szCs w:val="28"/>
        </w:rPr>
        <w:t>РАСПОРЯЖЕНИЕ №</w:t>
      </w:r>
      <w:r>
        <w:rPr>
          <w:rStyle w:val="9"/>
          <w:rFonts w:hint="default" w:ascii="Times New Roman"/>
          <w:sz w:val="28"/>
          <w:szCs w:val="28"/>
          <w:lang w:val="ru-RU"/>
        </w:rPr>
        <w:t xml:space="preserve"> 3</w:t>
      </w:r>
    </w:p>
    <w:p w14:paraId="5CDB7B65">
      <w:pPr>
        <w:pStyle w:val="10"/>
        <w:widowControl/>
        <w:spacing w:line="240" w:lineRule="exact"/>
        <w:ind w:left="312"/>
        <w:rPr>
          <w:sz w:val="20"/>
          <w:szCs w:val="20"/>
        </w:rPr>
      </w:pPr>
    </w:p>
    <w:p w14:paraId="22E664D1">
      <w:pPr>
        <w:pStyle w:val="10"/>
        <w:widowControl/>
        <w:spacing w:before="127"/>
        <w:ind w:left="312" w:firstLine="591" w:firstLineChars="269"/>
        <w:rPr>
          <w:rStyle w:val="11"/>
        </w:rPr>
      </w:pPr>
      <w:r>
        <w:rPr>
          <w:rStyle w:val="11"/>
        </w:rPr>
        <w:t xml:space="preserve"> </w:t>
      </w:r>
      <w:r>
        <w:rPr>
          <w:rStyle w:val="11"/>
          <w:rFonts w:hint="default" w:ascii="Times New Roman"/>
          <w:lang w:val="ru-RU"/>
        </w:rPr>
        <w:t>10 марта</w:t>
      </w:r>
      <w:r>
        <w:rPr>
          <w:rStyle w:val="11"/>
        </w:rPr>
        <w:t xml:space="preserve"> 20</w:t>
      </w:r>
      <w:r>
        <w:rPr>
          <w:rStyle w:val="11"/>
          <w:rFonts w:hint="default" w:ascii="Times New Roman"/>
          <w:lang w:val="ru-RU"/>
        </w:rPr>
        <w:t xml:space="preserve">26 </w:t>
      </w:r>
      <w:r>
        <w:rPr>
          <w:rStyle w:val="11"/>
        </w:rPr>
        <w:t>г.</w:t>
      </w:r>
    </w:p>
    <w:p w14:paraId="0A3E02B2">
      <w:pPr>
        <w:pStyle w:val="10"/>
        <w:widowControl/>
        <w:spacing w:before="19"/>
        <w:ind w:left="317"/>
        <w:jc w:val="both"/>
        <w:rPr>
          <w:rStyle w:val="11"/>
        </w:rPr>
      </w:pPr>
      <w:r>
        <w:rPr>
          <w:rFonts w:hint="default"/>
          <w:sz w:val="28"/>
          <w:szCs w:val="28"/>
          <w:lang w:val="ru-RU"/>
        </w:rPr>
        <w:t>«О внесении изменений в распоряжение Администрации Парамоновского сельского поселения от 26.12.2025 № 37 «Об утверждении учётной политики Администрации Парамоновского сельского поселения для целей бюджетного учёта»</w:t>
      </w:r>
    </w:p>
    <w:p w14:paraId="7258340C">
      <w:pPr>
        <w:spacing w:line="240" w:lineRule="auto"/>
        <w:rPr>
          <w:rFonts w:hAnsi="Times New Roman" w:cs="Times New Roman"/>
          <w:color w:val="000000"/>
          <w:sz w:val="24"/>
          <w:szCs w:val="24"/>
        </w:rPr>
      </w:pPr>
      <w:r>
        <w:rPr>
          <w:rFonts w:hAnsi="Times New Roman" w:cs="Times New Roman"/>
          <w:color w:val="000000"/>
          <w:sz w:val="24"/>
          <w:szCs w:val="24"/>
        </w:rPr>
        <w:t>Во исполнение Закона от 06.12.2011 № 402-ФЗ, Федерального стандарта «Учетная политика, оценочные значения и ошибки», утвержденного приказом Минфина от 30.12.2017 № 274н, Федерального стандарта «Единый план счетов бухгалтерского учета государственных финансов», утвержденного приказом Минфина от 30.08.2024 № 121н</w:t>
      </w:r>
    </w:p>
    <w:p w14:paraId="4936ED99">
      <w:r>
        <w:t>ПРИКАЗЫВАЮ:</w:t>
      </w:r>
    </w:p>
    <w:p w14:paraId="58CBD0CA">
      <w:pPr>
        <w:numPr>
          <w:ilvl w:val="0"/>
          <w:numId w:val="1"/>
        </w:numPr>
      </w:pPr>
      <w:r>
        <w:t>Утвердить учетную политику для целей бухгалтерского учета согласно приложению и ввести ее в действие с 01.01.202</w:t>
      </w:r>
      <w:r>
        <w:rPr>
          <w:rFonts w:hint="default"/>
          <w:lang w:val="ru-RU"/>
        </w:rPr>
        <w:t>6г</w:t>
      </w:r>
      <w:r>
        <w:t>.</w:t>
      </w:r>
    </w:p>
    <w:p w14:paraId="3B6E126A">
      <w:pPr>
        <w:ind w:firstLine="360" w:firstLineChars="150"/>
        <w:rPr>
          <w:rFonts w:ascii="Times New Roman" w:hAnsi="Times New Roman" w:eastAsia="Times New Roman" w:cs="Times New Roman"/>
          <w:color w:val="000000"/>
          <w:sz w:val="24"/>
          <w:szCs w:val="24"/>
          <w:lang w:val="ru-RU"/>
        </w:rPr>
      </w:pPr>
      <w:r>
        <w:rPr>
          <w:rFonts w:ascii="Times New Roman" w:hAnsi="Times New Roman" w:eastAsia="Times New Roman" w:cs="Times New Roman"/>
          <w:color w:val="000000"/>
          <w:sz w:val="24"/>
          <w:szCs w:val="24"/>
          <w:lang w:val="ru-RU"/>
        </w:rPr>
        <w:t>2. Установить, что данная редакция Учетной политики применяется с 1 января 202</w:t>
      </w:r>
      <w:r>
        <w:rPr>
          <w:rFonts w:hint="default" w:ascii="Times New Roman" w:hAnsi="Times New Roman" w:eastAsia="Times New Roman" w:cs="Times New Roman"/>
          <w:color w:val="000000"/>
          <w:sz w:val="24"/>
          <w:szCs w:val="24"/>
          <w:lang w:val="ru-RU"/>
        </w:rPr>
        <w:t>6</w:t>
      </w:r>
      <w:r>
        <w:rPr>
          <w:rFonts w:ascii="Times New Roman" w:hAnsi="Times New Roman" w:eastAsia="Times New Roman" w:cs="Times New Roman"/>
          <w:color w:val="000000"/>
          <w:sz w:val="24"/>
          <w:szCs w:val="24"/>
          <w:lang w:val="ru-RU"/>
        </w:rPr>
        <w:t xml:space="preserve"> г. во все последующие отчетные периоды с внесением в нее необходимых изменений и дополнений.</w:t>
      </w:r>
    </w:p>
    <w:p w14:paraId="06C00A34">
      <w:pPr>
        <w:numPr>
          <w:ilvl w:val="0"/>
          <w:numId w:val="0"/>
        </w:numPr>
        <w:ind w:left="360" w:leftChars="0"/>
      </w:pPr>
      <w:r>
        <w:rPr>
          <w:rFonts w:hint="default"/>
          <w:lang w:val="ru-RU"/>
        </w:rPr>
        <w:t xml:space="preserve">3.  </w:t>
      </w:r>
      <w:r>
        <w:t xml:space="preserve">Признать утратившим силу </w:t>
      </w:r>
      <w:r>
        <w:rPr>
          <w:lang w:val="ru-RU"/>
        </w:rPr>
        <w:t>распоряжение</w:t>
      </w:r>
      <w:r>
        <w:t xml:space="preserve"> от </w:t>
      </w:r>
      <w:r>
        <w:rPr>
          <w:rFonts w:hint="default"/>
          <w:lang w:val="ru-RU"/>
        </w:rPr>
        <w:t xml:space="preserve">26.12.2025 </w:t>
      </w:r>
      <w:r>
        <w:t>№</w:t>
      </w:r>
      <w:r>
        <w:rPr>
          <w:rFonts w:hint="default"/>
          <w:lang w:val="ru-RU"/>
        </w:rPr>
        <w:t xml:space="preserve">37 </w:t>
      </w:r>
      <w:r>
        <w:t xml:space="preserve"> «Об утверждении учетной политики </w:t>
      </w:r>
      <w:r>
        <w:rPr>
          <w:lang w:val="ru-RU"/>
        </w:rPr>
        <w:t>на</w:t>
      </w:r>
      <w:r>
        <w:rPr>
          <w:rFonts w:hint="default"/>
          <w:lang w:val="ru-RU"/>
        </w:rPr>
        <w:t xml:space="preserve"> 2026год</w:t>
      </w:r>
      <w:r>
        <w:t>».</w:t>
      </w:r>
    </w:p>
    <w:p w14:paraId="0BD2AC84">
      <w:pPr>
        <w:bidi w:val="0"/>
        <w:ind w:firstLine="440" w:firstLineChars="200"/>
        <w:rPr>
          <w:rFonts w:hint="default"/>
          <w:lang w:val="ru-RU"/>
        </w:rPr>
      </w:pPr>
      <w:r>
        <w:rPr>
          <w:rFonts w:hint="default"/>
          <w:lang w:val="ru-RU"/>
        </w:rPr>
        <w:t>4 .</w:t>
      </w:r>
      <w:r>
        <w:t xml:space="preserve">Контроль за исполнением приказа возложить на </w:t>
      </w:r>
      <w:r>
        <w:rPr>
          <w:rFonts w:hint="default"/>
          <w:lang w:val="ru-RU"/>
        </w:rPr>
        <w:t xml:space="preserve"> главного специалиста по ведению бухгалтерского учета Филонову В.П.</w:t>
      </w:r>
    </w:p>
    <w:tbl>
      <w:tblPr>
        <w:tblStyle w:val="4"/>
        <w:tblW w:w="0" w:type="auto"/>
        <w:tblInd w:w="0" w:type="dxa"/>
        <w:tblLayout w:type="autofit"/>
        <w:tblCellMar>
          <w:top w:w="0" w:type="dxa"/>
          <w:left w:w="10" w:type="dxa"/>
          <w:bottom w:w="0" w:type="dxa"/>
          <w:right w:w="10" w:type="dxa"/>
        </w:tblCellMar>
      </w:tblPr>
      <w:tblGrid>
        <w:gridCol w:w="26"/>
        <w:gridCol w:w="3799"/>
        <w:gridCol w:w="75"/>
        <w:gridCol w:w="2495"/>
        <w:gridCol w:w="2307"/>
      </w:tblGrid>
      <w:tr w14:paraId="1A08F407">
        <w:tblPrEx>
          <w:tblCellMar>
            <w:top w:w="0" w:type="dxa"/>
            <w:left w:w="10" w:type="dxa"/>
            <w:bottom w:w="0" w:type="dxa"/>
            <w:right w:w="10" w:type="dxa"/>
          </w:tblCellMar>
        </w:tblPrEx>
        <w:tc>
          <w:tcPr>
            <w:noWrap/>
          </w:tcPr>
          <w:p w14:paraId="12203C23">
            <w:pPr>
              <w:rPr>
                <w:rStyle w:val="3"/>
                <w:rFonts w:hint="default" w:ascii="Times New Roman" w:hAnsi="Times New Roman" w:eastAsia="SimSun" w:cs="Times New Roman"/>
                <w:sz w:val="22"/>
                <w:szCs w:val="22"/>
                <w:lang w:val="ru-RU"/>
              </w:rPr>
            </w:pPr>
          </w:p>
        </w:tc>
        <w:tc>
          <w:tcPr>
            <w:noWrap/>
          </w:tcPr>
          <w:p w14:paraId="4D561183">
            <w:pPr>
              <w:pStyle w:val="12"/>
              <w:keepNext/>
              <w:bidi w:val="0"/>
              <w:spacing w:before="120" w:after="120"/>
              <w:jc w:val="left"/>
              <w:rPr>
                <w:rStyle w:val="3"/>
                <w:rFonts w:hint="default" w:ascii="Times New Roman" w:hAnsi="Times New Roman" w:eastAsia="SimSun" w:cs="Times New Roman"/>
                <w:sz w:val="22"/>
                <w:szCs w:val="22"/>
                <w:lang w:val="ru-RU"/>
              </w:rPr>
            </w:pPr>
            <w:r>
              <w:rPr>
                <w:rStyle w:val="3"/>
                <w:rFonts w:hint="default" w:ascii="Times New Roman" w:hAnsi="Times New Roman" w:eastAsia="SimSun" w:cs="Times New Roman"/>
                <w:sz w:val="22"/>
                <w:szCs w:val="22"/>
                <w:lang w:val="ru-RU"/>
              </w:rPr>
              <w:t xml:space="preserve"> Глава </w:t>
            </w:r>
            <w:r>
              <w:rPr>
                <w:rStyle w:val="3"/>
                <w:rFonts w:hint="default" w:eastAsia="SimSun" w:cs="Times New Roman"/>
                <w:sz w:val="22"/>
                <w:szCs w:val="22"/>
                <w:lang w:val="ru-RU"/>
              </w:rPr>
              <w:t>А</w:t>
            </w:r>
            <w:r>
              <w:rPr>
                <w:rStyle w:val="3"/>
                <w:rFonts w:hint="default" w:ascii="Times New Roman" w:hAnsi="Times New Roman" w:eastAsia="SimSun" w:cs="Times New Roman"/>
                <w:sz w:val="22"/>
                <w:szCs w:val="22"/>
                <w:lang w:val="ru-RU"/>
              </w:rPr>
              <w:t>дминистрации Парамоновского</w:t>
            </w:r>
          </w:p>
          <w:p w14:paraId="57150F13">
            <w:pPr>
              <w:rPr>
                <w:rStyle w:val="3"/>
                <w:rFonts w:hint="default" w:ascii="Times New Roman" w:hAnsi="Times New Roman" w:eastAsia="SimSun" w:cs="Times New Roman"/>
                <w:sz w:val="22"/>
                <w:szCs w:val="22"/>
                <w:lang w:val="ru-RU"/>
              </w:rPr>
            </w:pPr>
            <w:r>
              <w:rPr>
                <w:rStyle w:val="3"/>
                <w:rFonts w:hint="default" w:ascii="Times New Roman" w:hAnsi="Times New Roman" w:eastAsia="SimSun" w:cs="Times New Roman"/>
                <w:sz w:val="22"/>
                <w:szCs w:val="22"/>
                <w:lang w:val="ru-RU"/>
              </w:rPr>
              <w:t>сельского поселения    </w:t>
            </w:r>
          </w:p>
        </w:tc>
        <w:tc>
          <w:tcPr>
            <w:noWrap/>
          </w:tcPr>
          <w:p w14:paraId="44094F57">
            <w:r>
              <w:t> </w:t>
            </w:r>
          </w:p>
        </w:tc>
        <w:tc>
          <w:tcPr>
            <w:noWrap/>
          </w:tcPr>
          <w:p w14:paraId="5F7532B5">
            <w:pPr>
              <w:ind w:firstLine="2200" w:firstLineChars="1000"/>
            </w:pPr>
            <w:r>
              <w:t>     </w:t>
            </w:r>
          </w:p>
        </w:tc>
        <w:tc>
          <w:tcPr>
            <w:tcW w:w="2307" w:type="dxa"/>
            <w:noWrap/>
          </w:tcPr>
          <w:p w14:paraId="5BEA3F09">
            <w:pPr>
              <w:ind w:firstLine="330" w:firstLineChars="150"/>
              <w:rPr>
                <w:sz w:val="22"/>
                <w:u w:val="single"/>
                <w:lang w:val="ru-RU"/>
              </w:rPr>
            </w:pPr>
          </w:p>
          <w:p w14:paraId="09C25679">
            <w:pPr>
              <w:ind w:firstLine="330" w:firstLineChars="150"/>
              <w:rPr>
                <w:sz w:val="22"/>
                <w:u w:val="single"/>
                <w:lang w:val="ru-RU"/>
              </w:rPr>
            </w:pPr>
          </w:p>
          <w:p w14:paraId="11F1DBAE">
            <w:pPr>
              <w:ind w:firstLine="330" w:firstLineChars="150"/>
            </w:pPr>
            <w:r>
              <w:rPr>
                <w:sz w:val="22"/>
                <w:u w:val="single"/>
                <w:lang w:val="ru-RU"/>
              </w:rPr>
              <w:t>Павлов</w:t>
            </w:r>
            <w:r>
              <w:rPr>
                <w:rFonts w:hint="default"/>
                <w:sz w:val="22"/>
                <w:u w:val="single"/>
                <w:lang w:val="ru-RU"/>
              </w:rPr>
              <w:t xml:space="preserve"> А.В.</w:t>
            </w:r>
            <w:r>
              <w:rPr>
                <w:rFonts w:ascii="Times New Roman" w:hAnsi="Times New Roman"/>
                <w:sz w:val="22"/>
                <w:u w:val="single"/>
                <w:lang w:val="ru-RU"/>
              </w:rPr>
              <w:t xml:space="preserve">  </w:t>
            </w:r>
          </w:p>
        </w:tc>
      </w:tr>
    </w:tbl>
    <w:p w14:paraId="7B6C5A3D">
      <w:pPr>
        <w:spacing w:line="240" w:lineRule="auto"/>
        <w:rPr>
          <w:rFonts w:hAnsi="Times New Roman" w:cs="Times New Roman"/>
          <w:color w:val="000000"/>
          <w:sz w:val="24"/>
          <w:szCs w:val="24"/>
        </w:rPr>
      </w:pPr>
    </w:p>
    <w:p w14:paraId="12DC2E5F">
      <w:pPr>
        <w:spacing w:line="240" w:lineRule="auto"/>
        <w:rPr>
          <w:rFonts w:hAnsi="Times New Roman" w:cs="Times New Roman"/>
          <w:color w:val="000000"/>
          <w:sz w:val="24"/>
          <w:szCs w:val="24"/>
        </w:rPr>
      </w:pPr>
    </w:p>
    <w:tbl>
      <w:tblPr>
        <w:tblStyle w:val="4"/>
        <w:tblW w:w="3069" w:type="dxa"/>
        <w:tblInd w:w="0" w:type="dxa"/>
        <w:tblLayout w:type="autofit"/>
        <w:tblCellMar>
          <w:top w:w="15" w:type="dxa"/>
          <w:left w:w="15" w:type="dxa"/>
          <w:bottom w:w="15" w:type="dxa"/>
          <w:right w:w="15" w:type="dxa"/>
        </w:tblCellMar>
      </w:tblPr>
      <w:tblGrid>
        <w:gridCol w:w="3069"/>
      </w:tblGrid>
      <w:tr w14:paraId="09FF4388">
        <w:tblPrEx>
          <w:tblCellMar>
            <w:top w:w="15" w:type="dxa"/>
            <w:left w:w="15" w:type="dxa"/>
            <w:bottom w:w="15" w:type="dxa"/>
            <w:right w:w="15" w:type="dxa"/>
          </w:tblCellMar>
        </w:tblPrEx>
        <w:trPr>
          <w:trHeight w:val="0" w:hRule="atLeast"/>
        </w:trPr>
        <w:tc>
          <w:tcPr>
            <w:tcW w:w="0" w:type="auto"/>
            <w:tcMar>
              <w:top w:w="75" w:type="dxa"/>
              <w:left w:w="75" w:type="dxa"/>
              <w:bottom w:w="75" w:type="dxa"/>
              <w:right w:w="75" w:type="dxa"/>
            </w:tcMar>
            <w:vAlign w:val="top"/>
          </w:tcPr>
          <w:p w14:paraId="34B9DC38">
            <w:pPr>
              <w:rPr>
                <w:rFonts w:hint="default"/>
                <w:lang w:val="ru-RU"/>
              </w:rPr>
            </w:pPr>
            <w:r>
              <w:rPr>
                <w:rFonts w:hAnsi="Times New Roman" w:cs="Times New Roman"/>
                <w:color w:val="000000"/>
                <w:sz w:val="24"/>
                <w:szCs w:val="24"/>
              </w:rPr>
              <w:t>Приложение</w:t>
            </w:r>
            <w:r>
              <w:br w:type="textWrapping"/>
            </w:r>
            <w:r>
              <w:rPr>
                <w:rFonts w:hAnsi="Times New Roman" w:cs="Times New Roman"/>
                <w:color w:val="000000"/>
                <w:sz w:val="24"/>
                <w:szCs w:val="24"/>
              </w:rPr>
              <w:t xml:space="preserve">к </w:t>
            </w:r>
            <w:r>
              <w:rPr>
                <w:rFonts w:hAnsi="Times New Roman" w:cs="Times New Roman"/>
                <w:color w:val="000000"/>
                <w:sz w:val="24"/>
                <w:szCs w:val="24"/>
                <w:lang w:val="ru-RU"/>
              </w:rPr>
              <w:t>распоряжению</w:t>
            </w:r>
            <w:r>
              <w:rPr>
                <w:rFonts w:hAnsi="Times New Roman" w:cs="Times New Roman"/>
                <w:color w:val="000000"/>
                <w:sz w:val="24"/>
                <w:szCs w:val="24"/>
              </w:rPr>
              <w:t xml:space="preserve"> от </w:t>
            </w:r>
            <w:r>
              <w:rPr>
                <w:rFonts w:hint="default" w:hAnsi="Times New Roman" w:cs="Times New Roman"/>
                <w:color w:val="000000"/>
                <w:sz w:val="24"/>
                <w:szCs w:val="24"/>
                <w:lang w:val="ru-RU"/>
              </w:rPr>
              <w:t>10</w:t>
            </w:r>
            <w:r>
              <w:rPr>
                <w:rFonts w:hAnsi="Times New Roman" w:cs="Times New Roman"/>
                <w:color w:val="000000"/>
                <w:sz w:val="24"/>
                <w:szCs w:val="24"/>
              </w:rPr>
              <w:t>.</w:t>
            </w:r>
            <w:r>
              <w:rPr>
                <w:rFonts w:hint="default" w:hAnsi="Times New Roman" w:cs="Times New Roman"/>
                <w:color w:val="000000"/>
                <w:sz w:val="24"/>
                <w:szCs w:val="24"/>
                <w:lang w:val="ru-RU"/>
              </w:rPr>
              <w:t>03</w:t>
            </w:r>
            <w:r>
              <w:rPr>
                <w:rFonts w:hAnsi="Times New Roman" w:cs="Times New Roman"/>
                <w:color w:val="000000"/>
                <w:sz w:val="24"/>
                <w:szCs w:val="24"/>
              </w:rPr>
              <w:t>.202</w:t>
            </w:r>
            <w:r>
              <w:rPr>
                <w:rFonts w:hint="default" w:hAnsi="Times New Roman" w:cs="Times New Roman"/>
                <w:color w:val="000000"/>
                <w:sz w:val="24"/>
                <w:szCs w:val="24"/>
                <w:lang w:val="ru-RU"/>
              </w:rPr>
              <w:t>6</w:t>
            </w:r>
            <w:r>
              <w:rPr>
                <w:rFonts w:hAnsi="Times New Roman" w:cs="Times New Roman"/>
                <w:color w:val="000000"/>
                <w:sz w:val="24"/>
                <w:szCs w:val="24"/>
              </w:rPr>
              <w:t> № </w:t>
            </w:r>
            <w:r>
              <w:rPr>
                <w:rFonts w:hint="default" w:hAnsi="Times New Roman" w:cs="Times New Roman"/>
                <w:color w:val="000000"/>
                <w:sz w:val="24"/>
                <w:szCs w:val="24"/>
                <w:lang w:val="ru-RU"/>
              </w:rPr>
              <w:t>3</w:t>
            </w:r>
            <w:bookmarkStart w:id="0" w:name="_GoBack"/>
            <w:bookmarkEnd w:id="0"/>
          </w:p>
        </w:tc>
      </w:tr>
    </w:tbl>
    <w:p w14:paraId="241B9ACF">
      <w:pPr>
        <w:spacing w:line="240" w:lineRule="auto"/>
        <w:jc w:val="center"/>
        <w:rPr>
          <w:rFonts w:hAnsi="Times New Roman" w:cs="Times New Roman"/>
          <w:b/>
          <w:bCs/>
          <w:color w:val="000000"/>
          <w:sz w:val="24"/>
          <w:szCs w:val="24"/>
        </w:rPr>
      </w:pPr>
    </w:p>
    <w:p w14:paraId="2FEBDFBC">
      <w:pPr>
        <w:spacing w:line="240" w:lineRule="auto"/>
        <w:jc w:val="center"/>
        <w:rPr>
          <w:rFonts w:hAnsi="Times New Roman" w:cs="Times New Roman"/>
          <w:color w:val="000000"/>
          <w:sz w:val="24"/>
          <w:szCs w:val="24"/>
        </w:rPr>
      </w:pPr>
      <w:r>
        <w:rPr>
          <w:rFonts w:hAnsi="Times New Roman" w:cs="Times New Roman"/>
          <w:b/>
          <w:bCs/>
          <w:color w:val="000000"/>
          <w:sz w:val="24"/>
          <w:szCs w:val="24"/>
        </w:rPr>
        <w:t>Учетная политика для целей бюджетного учета</w:t>
      </w:r>
    </w:p>
    <w:p w14:paraId="6D07651E">
      <w:pPr>
        <w:spacing w:line="240" w:lineRule="auto"/>
        <w:rPr>
          <w:rFonts w:hAnsi="Times New Roman" w:cs="Times New Roman"/>
          <w:color w:val="000000"/>
          <w:sz w:val="24"/>
          <w:szCs w:val="24"/>
        </w:rPr>
      </w:pPr>
      <w:r>
        <w:rPr>
          <w:rFonts w:hAnsi="Times New Roman" w:cs="Times New Roman"/>
          <w:color w:val="000000"/>
          <w:sz w:val="24"/>
          <w:szCs w:val="24"/>
        </w:rPr>
        <w:t>Учетная политика</w:t>
      </w:r>
      <w:r>
        <w:rPr>
          <w:rFonts w:hint="default" w:hAnsi="Times New Roman" w:cs="Times New Roman"/>
          <w:color w:val="000000"/>
          <w:sz w:val="24"/>
          <w:szCs w:val="24"/>
          <w:lang w:val="ru-RU"/>
        </w:rPr>
        <w:t xml:space="preserve"> Администрации Парамоновского сельского поселения</w:t>
      </w:r>
      <w:r>
        <w:rPr>
          <w:rFonts w:hAnsi="Times New Roman" w:cs="Times New Roman"/>
          <w:color w:val="000000"/>
          <w:sz w:val="24"/>
          <w:szCs w:val="24"/>
        </w:rPr>
        <w:t xml:space="preserve"> разработана в соответствии:</w:t>
      </w:r>
    </w:p>
    <w:p w14:paraId="17574337">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 приказом Минфина от 30.08.2024 № 121н «Об утверждении федерального стандарта бухгалтерского учета государственных финансов "Единый план счетов бухгалтерского учета государственных финансов"» (далее — СГС «Единый план счетов» № 121н);</w:t>
      </w:r>
    </w:p>
    <w:p w14:paraId="3CBD5809">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приказом Минфина от 20.09.2024 № 132н «Об утверждении федерального стандарта бухгалтерского учета государственных финансов "План счетов бюджетного учета"» (далее — СГС «План счетов бюджетного учета» № 132н);</w:t>
      </w:r>
    </w:p>
    <w:p w14:paraId="3DF426F4">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приказом Минфина от 24.05.2022 № 82н «О Порядке формирования и применения кодов бюджетной классификации Российской Федерации, их структуре и принципах назначения» (далее — приказ № 82н);</w:t>
      </w:r>
    </w:p>
    <w:p w14:paraId="6AE40870">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приказом Минфина от 29.11.2017 № 209н «Об утверждении Порядка применения классификации операций сектора государственного управления»(далее – приказ № 209н);</w:t>
      </w:r>
    </w:p>
    <w:p w14:paraId="4E74A2F6">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приказом Минфина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 52н);</w:t>
      </w:r>
    </w:p>
    <w:p w14:paraId="2DC5B6B3">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приказом Минфина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 61н);</w:t>
      </w:r>
    </w:p>
    <w:p w14:paraId="34D0E754">
      <w:pPr>
        <w:numPr>
          <w:ilvl w:val="0"/>
          <w:numId w:val="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федеральными стандартами бухгалтерского учета государственных финансов, утвержденными приказами Минфина от 31.12.2016 № 256н, 257н, 258н, 259н,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275н, 277н, 278н (далее – соответственно СГС «Учетная политика, оценочные значения и ошибки», СГС «События после отчетной даты», СГС «Информация о связанных сторонах», СГС «Отчет о движении денежных средств»), от 27.02.2018 № 32н (далее – СГС «Доходы»), от 28.02.2018 № 34н (далее – СГС «Непроизведенные активы»), от 30.05.2018 №122н, 124н (далее – соответственно СГС «Влияние изменений курсов иностранных валют», СГС «Резервы»), от 07.12.2018 № 256н (далее – СГС «Запасы»), от 29.06.2018 № 145н (далее – СГС «Долгосрочные договоры»), от 15.11.2019 № 181н, 182н, 183н, 184н (далее – соответственно СГС «Нематериальные активы», СГС «Затраты по заимствованиям», СГС «Совместная деятельность», СГС «Выплаты персоналу»), от 30.06.2020 № 129н (далее – СГС «Финансовые инструменты»), от 30.10.2020 № 254н (далее – СГС «Метод долевого участия»), от 16.12.2020 № 310н (далее – СГС «Биологические активы»).</w:t>
      </w:r>
    </w:p>
    <w:p w14:paraId="30FEFA4B">
      <w:pPr>
        <w:spacing w:line="240" w:lineRule="auto"/>
        <w:rPr>
          <w:rFonts w:hAnsi="Times New Roman" w:cs="Times New Roman"/>
          <w:color w:val="000000"/>
          <w:sz w:val="24"/>
          <w:szCs w:val="24"/>
        </w:rPr>
      </w:pPr>
      <w:r>
        <w:rPr>
          <w:rFonts w:hAnsi="Times New Roman" w:cs="Times New Roman"/>
          <w:color w:val="000000"/>
          <w:sz w:val="24"/>
          <w:szCs w:val="24"/>
        </w:rPr>
        <w:t>Используемые термины и сокращения</w:t>
      </w:r>
    </w:p>
    <w:tbl>
      <w:tblPr>
        <w:tblStyle w:val="4"/>
        <w:tblW w:w="5000" w:type="pct"/>
        <w:tblInd w:w="0" w:type="dxa"/>
        <w:tblLayout w:type="autofit"/>
        <w:tblCellMar>
          <w:top w:w="15" w:type="dxa"/>
          <w:left w:w="15" w:type="dxa"/>
          <w:bottom w:w="15" w:type="dxa"/>
          <w:right w:w="15" w:type="dxa"/>
        </w:tblCellMar>
      </w:tblPr>
      <w:tblGrid>
        <w:gridCol w:w="1795"/>
        <w:gridCol w:w="7382"/>
      </w:tblGrid>
      <w:tr w14:paraId="664426D7">
        <w:tblPrEx>
          <w:tblCellMar>
            <w:top w:w="15" w:type="dxa"/>
            <w:left w:w="15" w:type="dxa"/>
            <w:bottom w:w="15" w:type="dxa"/>
            <w:right w:w="15" w:type="dxa"/>
          </w:tblCellMar>
        </w:tblPrEx>
        <w:trPr>
          <w:trHeight w:val="0" w:hRule="atLeast"/>
        </w:trPr>
        <w:tc>
          <w:tcPr>
            <w:tcW w:w="171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14:paraId="46FCAAE5">
            <w:r>
              <w:rPr>
                <w:rFonts w:hAnsi="Times New Roman" w:cs="Times New Roman"/>
                <w:b/>
                <w:bCs/>
                <w:color w:val="000000"/>
                <w:sz w:val="24"/>
                <w:szCs w:val="24"/>
              </w:rPr>
              <w:t>Наименование</w:t>
            </w:r>
          </w:p>
        </w:tc>
        <w:tc>
          <w:tcPr>
            <w:tcW w:w="7221"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14:paraId="24A9F4E0">
            <w:r>
              <w:rPr>
                <w:rFonts w:hAnsi="Times New Roman" w:cs="Times New Roman"/>
                <w:b/>
                <w:bCs/>
                <w:color w:val="000000"/>
                <w:sz w:val="24"/>
                <w:szCs w:val="24"/>
              </w:rPr>
              <w:t xml:space="preserve">Расшифровка </w:t>
            </w:r>
          </w:p>
        </w:tc>
      </w:tr>
      <w:tr w14:paraId="0623ED8D">
        <w:tblPrEx>
          <w:tblCellMar>
            <w:top w:w="15" w:type="dxa"/>
            <w:left w:w="15" w:type="dxa"/>
            <w:bottom w:w="15" w:type="dxa"/>
            <w:right w:w="15" w:type="dxa"/>
          </w:tblCellMar>
        </w:tblPrEx>
        <w:trPr>
          <w:trHeight w:val="0" w:hRule="atLeast"/>
        </w:trPr>
        <w:tc>
          <w:tcPr>
            <w:tcW w:w="171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14:paraId="5F74DA39">
            <w:r>
              <w:rPr>
                <w:rFonts w:hAnsi="Times New Roman" w:cs="Times New Roman"/>
                <w:color w:val="000000"/>
                <w:sz w:val="24"/>
                <w:szCs w:val="24"/>
              </w:rPr>
              <w:t>Учреждение</w:t>
            </w:r>
          </w:p>
        </w:tc>
        <w:tc>
          <w:tcPr>
            <w:tcW w:w="7221"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14:paraId="70FD98DA">
            <w:r>
              <w:rPr>
                <w:rFonts w:hint="default" w:hAnsi="Times New Roman" w:cs="Times New Roman"/>
                <w:color w:val="000000"/>
                <w:sz w:val="24"/>
                <w:szCs w:val="24"/>
                <w:lang w:val="ru-RU"/>
              </w:rPr>
              <w:t>Администрация Парамоновского сельского поселения</w:t>
            </w:r>
          </w:p>
        </w:tc>
      </w:tr>
      <w:tr w14:paraId="3C645A89">
        <w:tblPrEx>
          <w:tblCellMar>
            <w:top w:w="15" w:type="dxa"/>
            <w:left w:w="15" w:type="dxa"/>
            <w:bottom w:w="15" w:type="dxa"/>
            <w:right w:w="15" w:type="dxa"/>
          </w:tblCellMar>
        </w:tblPrEx>
        <w:trPr>
          <w:trHeight w:val="0" w:hRule="atLeast"/>
        </w:trPr>
        <w:tc>
          <w:tcPr>
            <w:tcW w:w="171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14:paraId="6CAF2D90">
            <w:r>
              <w:rPr>
                <w:rFonts w:hAnsi="Times New Roman" w:cs="Times New Roman"/>
                <w:color w:val="000000"/>
                <w:sz w:val="24"/>
                <w:szCs w:val="24"/>
              </w:rPr>
              <w:t>КБК</w:t>
            </w:r>
          </w:p>
        </w:tc>
        <w:tc>
          <w:tcPr>
            <w:tcW w:w="7221"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14:paraId="57DE7C70">
            <w:r>
              <w:rPr>
                <w:rFonts w:hAnsi="Times New Roman" w:cs="Times New Roman"/>
                <w:color w:val="000000"/>
                <w:sz w:val="24"/>
                <w:szCs w:val="24"/>
              </w:rPr>
              <w:t>1–17-е разряды номера счета в соответствии с Рабочим планом счетов</w:t>
            </w:r>
          </w:p>
        </w:tc>
      </w:tr>
      <w:tr w14:paraId="355A7FB3">
        <w:tblPrEx>
          <w:tblCellMar>
            <w:top w:w="15" w:type="dxa"/>
            <w:left w:w="15" w:type="dxa"/>
            <w:bottom w:w="15" w:type="dxa"/>
            <w:right w:w="15" w:type="dxa"/>
          </w:tblCellMar>
        </w:tblPrEx>
        <w:trPr>
          <w:trHeight w:val="0" w:hRule="atLeast"/>
        </w:trPr>
        <w:tc>
          <w:tcPr>
            <w:tcW w:w="171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14:paraId="3E8CD4E6">
            <w:r>
              <w:rPr>
                <w:rFonts w:hAnsi="Times New Roman" w:cs="Times New Roman"/>
                <w:color w:val="000000"/>
                <w:sz w:val="24"/>
                <w:szCs w:val="24"/>
              </w:rPr>
              <w:t>Х</w:t>
            </w:r>
          </w:p>
        </w:tc>
        <w:tc>
          <w:tcPr>
            <w:tcW w:w="7221"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14:paraId="3DB0B165">
            <w:r>
              <w:rPr>
                <w:rFonts w:hAnsi="Times New Roman" w:cs="Times New Roman"/>
                <w:color w:val="000000"/>
                <w:sz w:val="24"/>
                <w:szCs w:val="24"/>
              </w:rPr>
              <w:t>26-й разряд – соответствующая подстатья КОСГУ</w:t>
            </w:r>
          </w:p>
        </w:tc>
      </w:tr>
    </w:tbl>
    <w:p w14:paraId="6F3351A0">
      <w:pPr>
        <w:spacing w:line="600" w:lineRule="atLeast"/>
        <w:rPr>
          <w:b/>
          <w:bCs/>
          <w:color w:val="252525"/>
          <w:spacing w:val="-2"/>
          <w:sz w:val="42"/>
          <w:szCs w:val="42"/>
        </w:rPr>
      </w:pPr>
      <w:r>
        <w:rPr>
          <w:b/>
          <w:bCs/>
          <w:color w:val="252525"/>
          <w:spacing w:val="-2"/>
          <w:sz w:val="24"/>
          <w:szCs w:val="24"/>
        </w:rPr>
        <w:t>I. Общие</w:t>
      </w:r>
      <w:r>
        <w:rPr>
          <w:rFonts w:hint="default"/>
          <w:b/>
          <w:bCs/>
          <w:color w:val="252525"/>
          <w:spacing w:val="-2"/>
          <w:sz w:val="24"/>
          <w:szCs w:val="24"/>
          <w:lang w:val="ru-RU"/>
        </w:rPr>
        <w:t xml:space="preserve"> </w:t>
      </w:r>
      <w:r>
        <w:rPr>
          <w:b/>
          <w:bCs/>
          <w:color w:val="252525"/>
          <w:spacing w:val="-2"/>
          <w:sz w:val="24"/>
          <w:szCs w:val="24"/>
        </w:rPr>
        <w:t>положения</w:t>
      </w:r>
    </w:p>
    <w:p w14:paraId="440E6CF8">
      <w:pPr>
        <w:bidi w:val="0"/>
        <w:ind w:firstLine="480" w:firstLineChars="200"/>
        <w:jc w:val="both"/>
        <w:rPr>
          <w:rFonts w:hAnsi="Times New Roman" w:cs="Times New Roman"/>
          <w:color w:val="000000"/>
          <w:sz w:val="24"/>
          <w:szCs w:val="24"/>
        </w:rPr>
      </w:pPr>
      <w:r>
        <w:rPr>
          <w:rFonts w:hAnsi="Times New Roman" w:cs="Times New Roman"/>
          <w:color w:val="000000"/>
          <w:sz w:val="24"/>
          <w:szCs w:val="24"/>
        </w:rPr>
        <w:t>1</w:t>
      </w:r>
      <w:r>
        <w:rPr>
          <w:rFonts w:hAnsi="Times New Roman" w:cs="Times New Roman" w:asciiTheme="minorHAnsi" w:eastAsiaTheme="minorHAnsi"/>
          <w:color w:val="000000"/>
          <w:sz w:val="24"/>
          <w:szCs w:val="24"/>
          <w:lang w:val="en-US" w:eastAsia="en-US" w:bidi="ar-SA"/>
        </w:rPr>
        <w:t xml:space="preserve">. </w:t>
      </w:r>
      <w:r>
        <w:rPr>
          <w:rFonts w:hint="default" w:hAnsi="Times New Roman" w:cs="Times New Roman" w:asciiTheme="minorHAnsi" w:eastAsiaTheme="minorHAnsi"/>
          <w:color w:val="000000"/>
          <w:sz w:val="24"/>
          <w:szCs w:val="24"/>
          <w:lang w:val="en-US" w:eastAsia="zh-CN" w:bidi="ar-SA"/>
        </w:rPr>
        <w:t xml:space="preserve">Бюджетный учет ведет </w:t>
      </w:r>
      <w:r>
        <w:rPr>
          <w:rFonts w:hint="default" w:hAnsi="Times New Roman" w:cs="Times New Roman" w:asciiTheme="minorHAnsi" w:eastAsiaTheme="minorHAnsi"/>
          <w:color w:val="000000"/>
          <w:sz w:val="24"/>
          <w:szCs w:val="24"/>
          <w:lang w:val="ru-RU" w:eastAsia="zh-CN" w:bidi="ar-SA"/>
        </w:rPr>
        <w:t>главный специалист по ведению бухгалтерского учета</w:t>
      </w:r>
      <w:r>
        <w:rPr>
          <w:rFonts w:hint="default" w:hAnsi="Times New Roman" w:cs="Times New Roman" w:asciiTheme="minorHAnsi" w:eastAsiaTheme="minorHAnsi"/>
          <w:color w:val="000000"/>
          <w:sz w:val="24"/>
          <w:szCs w:val="24"/>
          <w:lang w:val="en-US" w:eastAsia="zh-CN" w:bidi="ar-SA"/>
        </w:rPr>
        <w:t>.</w:t>
      </w:r>
      <w:r>
        <w:rPr>
          <w:rFonts w:hint="default" w:hAnsi="Times New Roman" w:cs="Times New Roman"/>
          <w:color w:val="000000"/>
          <w:sz w:val="24"/>
          <w:szCs w:val="24"/>
          <w:lang w:val="ru-RU" w:eastAsia="zh-CN" w:bidi="ar-SA"/>
        </w:rPr>
        <w:t xml:space="preserve"> Г</w:t>
      </w:r>
      <w:r>
        <w:rPr>
          <w:rFonts w:hint="default" w:hAnsi="Times New Roman" w:cs="Times New Roman" w:asciiTheme="minorHAnsi" w:eastAsiaTheme="minorHAnsi"/>
          <w:color w:val="000000"/>
          <w:sz w:val="24"/>
          <w:szCs w:val="24"/>
          <w:lang w:val="ru-RU" w:eastAsia="zh-CN" w:bidi="ar-SA"/>
        </w:rPr>
        <w:t>лавный специалист по ведению бухгалтерского учета</w:t>
      </w:r>
      <w:r>
        <w:rPr>
          <w:rFonts w:hint="default" w:hAnsi="Times New Roman" w:cs="Times New Roman" w:asciiTheme="minorHAnsi" w:eastAsiaTheme="minorHAnsi"/>
          <w:color w:val="000000"/>
          <w:sz w:val="24"/>
          <w:szCs w:val="24"/>
          <w:lang w:val="en-US" w:eastAsia="zh-CN" w:bidi="ar-SA"/>
        </w:rPr>
        <w:t xml:space="preserve"> руководствуются в работе</w:t>
      </w:r>
      <w:r>
        <w:rPr>
          <w:rFonts w:hint="default" w:hAnsi="Times New Roman" w:cs="Times New Roman"/>
          <w:color w:val="000000"/>
          <w:sz w:val="24"/>
          <w:szCs w:val="24"/>
          <w:lang w:val="ru-RU" w:eastAsia="zh-CN" w:bidi="ar-SA"/>
        </w:rPr>
        <w:t xml:space="preserve"> </w:t>
      </w:r>
      <w:r>
        <w:rPr>
          <w:rFonts w:hint="default" w:hAnsi="Times New Roman" w:cs="Times New Roman" w:asciiTheme="minorHAnsi" w:eastAsiaTheme="minorHAnsi"/>
          <w:color w:val="000000"/>
          <w:sz w:val="24"/>
          <w:szCs w:val="24"/>
          <w:lang w:val="en-US" w:eastAsia="zh-CN" w:bidi="ar-SA"/>
        </w:rPr>
        <w:t>должностными инструкциями. Ответственным за организацию бюджетного</w:t>
      </w:r>
      <w:r>
        <w:rPr>
          <w:rFonts w:hint="default" w:hAnsi="Times New Roman" w:cs="Times New Roman"/>
          <w:color w:val="000000"/>
          <w:sz w:val="24"/>
          <w:szCs w:val="24"/>
          <w:lang w:val="ru-RU" w:eastAsia="zh-CN" w:bidi="ar-SA"/>
        </w:rPr>
        <w:t xml:space="preserve"> </w:t>
      </w:r>
      <w:r>
        <w:rPr>
          <w:rFonts w:hint="default" w:hAnsi="Times New Roman" w:cs="Times New Roman" w:asciiTheme="minorHAnsi" w:eastAsiaTheme="minorHAnsi"/>
          <w:color w:val="000000"/>
          <w:sz w:val="24"/>
          <w:szCs w:val="24"/>
          <w:lang w:val="en-US" w:eastAsia="zh-CN" w:bidi="ar-SA"/>
        </w:rPr>
        <w:t>учета и соблюдение законодательства при выполнении хозяйственных</w:t>
      </w:r>
      <w:r>
        <w:rPr>
          <w:rFonts w:hint="default" w:hAnsi="Times New Roman" w:cs="Times New Roman"/>
          <w:color w:val="000000"/>
          <w:sz w:val="24"/>
          <w:szCs w:val="24"/>
          <w:lang w:val="ru-RU" w:eastAsia="zh-CN" w:bidi="ar-SA"/>
        </w:rPr>
        <w:t xml:space="preserve"> </w:t>
      </w:r>
      <w:r>
        <w:rPr>
          <w:rFonts w:hint="default" w:hAnsi="Times New Roman" w:cs="Times New Roman" w:asciiTheme="minorHAnsi" w:eastAsiaTheme="minorHAnsi"/>
          <w:color w:val="000000"/>
          <w:sz w:val="24"/>
          <w:szCs w:val="24"/>
          <w:lang w:val="en-US" w:eastAsia="zh-CN" w:bidi="ar-SA"/>
        </w:rPr>
        <w:t>операций является Глава</w:t>
      </w:r>
      <w:r>
        <w:rPr>
          <w:rFonts w:hint="default" w:hAnsi="Times New Roman" w:cs="Times New Roman"/>
          <w:color w:val="000000"/>
          <w:sz w:val="24"/>
          <w:szCs w:val="24"/>
          <w:lang w:val="ru-RU" w:eastAsia="zh-CN" w:bidi="ar-SA"/>
        </w:rPr>
        <w:t xml:space="preserve"> </w:t>
      </w:r>
      <w:r>
        <w:rPr>
          <w:rFonts w:hint="default" w:hAnsi="Times New Roman" w:cs="Times New Roman"/>
          <w:color w:val="000000"/>
          <w:sz w:val="24"/>
          <w:szCs w:val="24"/>
          <w:lang w:val="ru-RU"/>
        </w:rPr>
        <w:t>Администрации</w:t>
      </w:r>
      <w:r>
        <w:rPr>
          <w:rFonts w:hint="default" w:hAnsi="Times New Roman" w:cs="Times New Roman"/>
          <w:color w:val="000000"/>
          <w:sz w:val="24"/>
          <w:szCs w:val="24"/>
          <w:lang w:val="ru-RU" w:eastAsia="zh-CN" w:bidi="ar-SA"/>
        </w:rPr>
        <w:t xml:space="preserve"> </w:t>
      </w:r>
      <w:r>
        <w:rPr>
          <w:rFonts w:hint="default" w:hAnsi="Times New Roman" w:cs="Times New Roman" w:asciiTheme="minorHAnsi" w:eastAsiaTheme="minorHAnsi"/>
          <w:color w:val="000000"/>
          <w:sz w:val="24"/>
          <w:szCs w:val="24"/>
          <w:lang w:val="en-US" w:eastAsia="zh-CN" w:bidi="ar-SA"/>
        </w:rPr>
        <w:t xml:space="preserve"> </w:t>
      </w:r>
      <w:r>
        <w:rPr>
          <w:rFonts w:hint="default" w:hAnsi="Times New Roman" w:cs="Times New Roman"/>
          <w:color w:val="000000"/>
          <w:sz w:val="24"/>
          <w:szCs w:val="24"/>
          <w:lang w:val="ru-RU"/>
        </w:rPr>
        <w:t>Парамоновского</w:t>
      </w:r>
      <w:r>
        <w:rPr>
          <w:rFonts w:hint="default" w:hAnsi="Times New Roman" w:cs="Times New Roman" w:asciiTheme="minorHAnsi" w:eastAsiaTheme="minorHAnsi"/>
          <w:color w:val="000000"/>
          <w:sz w:val="24"/>
          <w:szCs w:val="24"/>
          <w:lang w:val="en-US" w:eastAsia="zh-CN" w:bidi="ar-SA"/>
        </w:rPr>
        <w:t xml:space="preserve"> сельского поселения, за ведение</w:t>
      </w:r>
      <w:r>
        <w:rPr>
          <w:rFonts w:hint="default" w:hAnsi="Times New Roman" w:cs="Times New Roman"/>
          <w:color w:val="000000"/>
          <w:sz w:val="24"/>
          <w:szCs w:val="24"/>
          <w:lang w:val="ru-RU" w:eastAsia="zh-CN" w:bidi="ar-SA"/>
        </w:rPr>
        <w:t xml:space="preserve"> </w:t>
      </w:r>
      <w:r>
        <w:rPr>
          <w:rFonts w:hint="default" w:hAnsi="Times New Roman" w:cs="Times New Roman" w:asciiTheme="minorHAnsi" w:eastAsiaTheme="minorHAnsi"/>
          <w:color w:val="000000"/>
          <w:sz w:val="24"/>
          <w:szCs w:val="24"/>
          <w:lang w:val="en-US" w:eastAsia="zh-CN" w:bidi="ar-SA"/>
        </w:rPr>
        <w:t>бюджетного учета, своевременное представление полной и достоверной</w:t>
      </w:r>
      <w:r>
        <w:rPr>
          <w:rFonts w:hint="default" w:hAnsi="Times New Roman" w:cs="Times New Roman"/>
          <w:color w:val="000000"/>
          <w:sz w:val="24"/>
          <w:szCs w:val="24"/>
          <w:lang w:val="ru-RU" w:eastAsia="zh-CN" w:bidi="ar-SA"/>
        </w:rPr>
        <w:t xml:space="preserve"> </w:t>
      </w:r>
      <w:r>
        <w:rPr>
          <w:rFonts w:hint="default" w:hAnsi="Times New Roman" w:cs="Times New Roman" w:asciiTheme="minorHAnsi" w:eastAsiaTheme="minorHAnsi"/>
          <w:color w:val="000000"/>
          <w:sz w:val="24"/>
          <w:szCs w:val="24"/>
          <w:lang w:val="en-US" w:eastAsia="zh-CN" w:bidi="ar-SA"/>
        </w:rPr>
        <w:t>бухгалтерской</w:t>
      </w:r>
      <w:r>
        <w:rPr>
          <w:rFonts w:hint="default" w:hAnsi="Times New Roman" w:cs="Times New Roman"/>
          <w:color w:val="000000"/>
          <w:sz w:val="24"/>
          <w:szCs w:val="24"/>
          <w:lang w:val="ru-RU" w:eastAsia="zh-CN" w:bidi="ar-SA"/>
        </w:rPr>
        <w:t xml:space="preserve"> </w:t>
      </w:r>
      <w:r>
        <w:rPr>
          <w:rFonts w:hint="default" w:hAnsi="Times New Roman" w:cs="Times New Roman" w:asciiTheme="minorHAnsi" w:eastAsiaTheme="minorHAnsi"/>
          <w:color w:val="000000"/>
          <w:sz w:val="24"/>
          <w:szCs w:val="24"/>
          <w:lang w:val="en-US" w:eastAsia="zh-CN" w:bidi="ar-SA"/>
        </w:rPr>
        <w:t>отчетности</w:t>
      </w:r>
      <w:r>
        <w:rPr>
          <w:rFonts w:hint="default" w:hAnsi="Times New Roman" w:cs="Times New Roman"/>
          <w:color w:val="000000"/>
          <w:sz w:val="24"/>
          <w:szCs w:val="24"/>
          <w:lang w:val="ru-RU" w:eastAsia="zh-CN" w:bidi="ar-SA"/>
        </w:rPr>
        <w:t xml:space="preserve"> </w:t>
      </w:r>
      <w:r>
        <w:rPr>
          <w:rFonts w:hint="default" w:hAnsi="Times New Roman" w:cs="Times New Roman" w:asciiTheme="minorHAnsi" w:eastAsiaTheme="minorHAnsi"/>
          <w:color w:val="000000"/>
          <w:sz w:val="24"/>
          <w:szCs w:val="24"/>
          <w:lang w:val="ru-RU" w:eastAsia="zh-CN" w:bidi="ar-SA"/>
        </w:rPr>
        <w:t>главный специалист по ведению бухгалтерского учета</w:t>
      </w:r>
      <w:r>
        <w:rPr>
          <w:rFonts w:hint="default" w:hAnsi="Times New Roman" w:cs="Times New Roman"/>
          <w:color w:val="000000"/>
          <w:sz w:val="24"/>
          <w:szCs w:val="24"/>
          <w:lang w:val="ru-RU"/>
        </w:rPr>
        <w:t>.</w:t>
      </w:r>
    </w:p>
    <w:p w14:paraId="28F2A99D">
      <w:pPr>
        <w:spacing w:line="240" w:lineRule="auto"/>
        <w:rPr>
          <w:rFonts w:hAnsi="Times New Roman" w:cs="Times New Roman"/>
          <w:color w:val="000000"/>
          <w:sz w:val="24"/>
          <w:szCs w:val="24"/>
        </w:rPr>
      </w:pPr>
      <w:r>
        <w:rPr>
          <w:rFonts w:hAnsi="Times New Roman" w:cs="Times New Roman"/>
          <w:color w:val="000000"/>
          <w:sz w:val="24"/>
          <w:szCs w:val="24"/>
        </w:rPr>
        <w:t>Основание: часть 3 статьи 7 Закона от 06.12.2011 № 402-ФЗ.</w:t>
      </w:r>
    </w:p>
    <w:p w14:paraId="2279579E">
      <w:pPr>
        <w:spacing w:line="240" w:lineRule="auto"/>
        <w:rPr>
          <w:rFonts w:hAnsi="Times New Roman" w:cs="Times New Roman"/>
          <w:color w:val="000000"/>
          <w:sz w:val="24"/>
          <w:szCs w:val="24"/>
        </w:rPr>
      </w:pPr>
      <w:r>
        <w:rPr>
          <w:rFonts w:hAnsi="Times New Roman" w:cs="Times New Roman"/>
          <w:color w:val="000000"/>
          <w:sz w:val="24"/>
          <w:szCs w:val="24"/>
        </w:rPr>
        <w:t xml:space="preserve">2. </w:t>
      </w:r>
      <w:r>
        <w:rPr>
          <w:rFonts w:hAnsi="Times New Roman" w:cs="Times New Roman"/>
          <w:color w:val="000000"/>
          <w:sz w:val="24"/>
          <w:szCs w:val="24"/>
          <w:lang w:val="ru-RU"/>
        </w:rPr>
        <w:t>О</w:t>
      </w:r>
      <w:r>
        <w:rPr>
          <w:rFonts w:hAnsi="Times New Roman" w:cs="Times New Roman"/>
          <w:color w:val="000000"/>
          <w:sz w:val="24"/>
          <w:szCs w:val="24"/>
        </w:rPr>
        <w:t>бособленных подразделени</w:t>
      </w:r>
      <w:r>
        <w:rPr>
          <w:rFonts w:hAnsi="Times New Roman" w:cs="Times New Roman"/>
          <w:color w:val="000000"/>
          <w:sz w:val="24"/>
          <w:szCs w:val="24"/>
          <w:lang w:val="ru-RU"/>
        </w:rPr>
        <w:t>й</w:t>
      </w:r>
      <w:r>
        <w:rPr>
          <w:rFonts w:hAnsi="Times New Roman" w:cs="Times New Roman"/>
          <w:color w:val="000000"/>
          <w:sz w:val="24"/>
          <w:szCs w:val="24"/>
        </w:rPr>
        <w:t xml:space="preserve"> </w:t>
      </w:r>
      <w:r>
        <w:rPr>
          <w:rFonts w:hAnsi="Times New Roman" w:cs="Times New Roman"/>
          <w:color w:val="000000"/>
          <w:sz w:val="24"/>
          <w:szCs w:val="24"/>
          <w:lang w:val="ru-RU"/>
        </w:rPr>
        <w:t>в</w:t>
      </w:r>
      <w:r>
        <w:rPr>
          <w:rFonts w:hint="default" w:hAnsi="Times New Roman" w:cs="Times New Roman"/>
          <w:color w:val="000000"/>
          <w:sz w:val="24"/>
          <w:szCs w:val="24"/>
          <w:lang w:val="ru-RU"/>
        </w:rPr>
        <w:t xml:space="preserve"> </w:t>
      </w:r>
      <w:r>
        <w:rPr>
          <w:rFonts w:hAnsi="Times New Roman" w:cs="Times New Roman"/>
          <w:color w:val="000000"/>
          <w:sz w:val="24"/>
          <w:szCs w:val="24"/>
        </w:rPr>
        <w:t>учреждени</w:t>
      </w:r>
      <w:r>
        <w:rPr>
          <w:rFonts w:hAnsi="Times New Roman" w:cs="Times New Roman"/>
          <w:color w:val="000000"/>
          <w:sz w:val="24"/>
          <w:szCs w:val="24"/>
          <w:lang w:val="ru-RU"/>
        </w:rPr>
        <w:t>и</w:t>
      </w:r>
      <w:r>
        <w:rPr>
          <w:rFonts w:hint="default" w:hAnsi="Times New Roman" w:cs="Times New Roman"/>
          <w:color w:val="000000"/>
          <w:sz w:val="24"/>
          <w:szCs w:val="24"/>
          <w:lang w:val="ru-RU"/>
        </w:rPr>
        <w:t xml:space="preserve"> не</w:t>
      </w:r>
      <w:r>
        <w:rPr>
          <w:rFonts w:hAnsi="Times New Roman" w:cs="Times New Roman"/>
          <w:color w:val="000000"/>
          <w:sz w:val="24"/>
          <w:szCs w:val="24"/>
        </w:rPr>
        <w:t xml:space="preserve"> име</w:t>
      </w:r>
      <w:r>
        <w:rPr>
          <w:rFonts w:hAnsi="Times New Roman" w:cs="Times New Roman"/>
          <w:color w:val="000000"/>
          <w:sz w:val="24"/>
          <w:szCs w:val="24"/>
          <w:lang w:val="ru-RU"/>
        </w:rPr>
        <w:t>ется</w:t>
      </w:r>
      <w:r>
        <w:rPr>
          <w:rFonts w:hint="default" w:hAnsi="Times New Roman" w:cs="Times New Roman"/>
          <w:color w:val="000000"/>
          <w:sz w:val="24"/>
          <w:szCs w:val="24"/>
          <w:lang w:val="ru-RU"/>
        </w:rPr>
        <w:t>.</w:t>
      </w:r>
    </w:p>
    <w:p w14:paraId="3CB96B37">
      <w:pPr>
        <w:spacing w:line="240" w:lineRule="auto"/>
        <w:rPr>
          <w:rFonts w:hAnsi="Times New Roman" w:cs="Times New Roman"/>
          <w:color w:val="000000"/>
          <w:sz w:val="24"/>
          <w:szCs w:val="24"/>
        </w:rPr>
      </w:pPr>
      <w:r>
        <w:rPr>
          <w:rFonts w:hAnsi="Times New Roman" w:cs="Times New Roman"/>
          <w:color w:val="000000"/>
          <w:sz w:val="24"/>
          <w:szCs w:val="24"/>
        </w:rPr>
        <w:t>3. В учреждении действуют постоянные комиссии:</w:t>
      </w:r>
    </w:p>
    <w:p w14:paraId="35EC0B22">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комиссия по поступлению и выбытию активов (приложение 1);</w:t>
      </w:r>
    </w:p>
    <w:p w14:paraId="651C75F2">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инвентаризационная комиссия (приложение 2);</w:t>
      </w:r>
    </w:p>
    <w:p w14:paraId="4C070289">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комиссия по проверке показаний одометров автотранспорта (приложение 3);</w:t>
      </w:r>
    </w:p>
    <w:p w14:paraId="77A0DA0D">
      <w:pPr>
        <w:numPr>
          <w:ilvl w:val="0"/>
          <w:numId w:val="0"/>
        </w:numPr>
        <w:spacing w:beforeAutospacing="1" w:afterAutospacing="1" w:line="240" w:lineRule="auto"/>
        <w:ind w:left="420" w:leftChars="0" w:right="180" w:rightChars="0"/>
        <w:rPr>
          <w:rFonts w:hAnsi="Times New Roman" w:cs="Times New Roman"/>
          <w:color w:val="000000"/>
          <w:sz w:val="24"/>
          <w:szCs w:val="24"/>
        </w:rPr>
      </w:pPr>
    </w:p>
    <w:p w14:paraId="71DA21DF">
      <w:pPr>
        <w:spacing w:line="240" w:lineRule="auto"/>
        <w:rPr>
          <w:rFonts w:hAnsi="Times New Roman" w:cs="Times New Roman"/>
          <w:color w:val="000000"/>
          <w:sz w:val="24"/>
          <w:szCs w:val="24"/>
        </w:rPr>
      </w:pPr>
      <w:r>
        <w:rPr>
          <w:rFonts w:hAnsi="Times New Roman" w:cs="Times New Roman"/>
          <w:color w:val="000000"/>
          <w:sz w:val="24"/>
          <w:szCs w:val="24"/>
        </w:rPr>
        <w:t>4. Учреждение публикует основные положения учетной политики на своем официальном сайте путем размещения копий документов учетной политики.</w:t>
      </w:r>
    </w:p>
    <w:p w14:paraId="63C2F186">
      <w:pPr>
        <w:spacing w:line="240" w:lineRule="auto"/>
        <w:rPr>
          <w:rFonts w:hAnsi="Times New Roman" w:cs="Times New Roman"/>
          <w:color w:val="000000"/>
          <w:sz w:val="24"/>
          <w:szCs w:val="24"/>
        </w:rPr>
      </w:pPr>
      <w:r>
        <w:rPr>
          <w:rFonts w:hAnsi="Times New Roman" w:cs="Times New Roman"/>
          <w:color w:val="000000"/>
          <w:sz w:val="24"/>
          <w:szCs w:val="24"/>
        </w:rPr>
        <w:t>Основание: пункт 9 СГС «Учетная политика, оценочные значения и ошибки».</w:t>
      </w:r>
    </w:p>
    <w:p w14:paraId="55FAC38E">
      <w:pPr>
        <w:spacing w:line="240" w:lineRule="auto"/>
        <w:rPr>
          <w:rFonts w:hAnsi="Times New Roman" w:cs="Times New Roman"/>
          <w:color w:val="000000"/>
          <w:sz w:val="24"/>
          <w:szCs w:val="24"/>
        </w:rPr>
      </w:pPr>
      <w:r>
        <w:rPr>
          <w:rFonts w:hAnsi="Times New Roman" w:cs="Times New Roman"/>
          <w:color w:val="000000"/>
          <w:sz w:val="24"/>
          <w:szCs w:val="24"/>
        </w:rPr>
        <w:t xml:space="preserve">5. При внесении изменений в учетную политику </w:t>
      </w:r>
      <w:r>
        <w:rPr>
          <w:rFonts w:hint="default" w:hAnsi="Times New Roman" w:cs="Times New Roman" w:asciiTheme="minorHAnsi" w:eastAsiaTheme="minorHAnsi"/>
          <w:color w:val="000000"/>
          <w:sz w:val="24"/>
          <w:szCs w:val="24"/>
          <w:lang w:val="ru-RU" w:eastAsia="zh-CN" w:bidi="ar-SA"/>
        </w:rPr>
        <w:t>главный специалист по ведению бухгалтерского учета</w:t>
      </w:r>
      <w:r>
        <w:rPr>
          <w:rFonts w:hAnsi="Times New Roman" w:cs="Times New Roman"/>
          <w:color w:val="000000"/>
          <w:sz w:val="24"/>
          <w:szCs w:val="24"/>
        </w:rPr>
        <w:t xml:space="preserve">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w:t>
      </w:r>
      <w:r>
        <w:br w:type="textWrapping"/>
      </w:r>
      <w:r>
        <w:rPr>
          <w:rFonts w:hAnsi="Times New Roman" w:cs="Times New Roman"/>
          <w:color w:val="000000"/>
          <w:sz w:val="24"/>
          <w:szCs w:val="24"/>
        </w:rPr>
        <w:t>Пояснениях к отчетности информации о существенных ошибках.</w:t>
      </w:r>
    </w:p>
    <w:p w14:paraId="6D864FA3">
      <w:pPr>
        <w:spacing w:line="240" w:lineRule="auto"/>
        <w:rPr>
          <w:rFonts w:hAnsi="Times New Roman" w:cs="Times New Roman"/>
          <w:color w:val="000000"/>
          <w:sz w:val="24"/>
          <w:szCs w:val="24"/>
        </w:rPr>
      </w:pPr>
      <w:r>
        <w:rPr>
          <w:rFonts w:hAnsi="Times New Roman" w:cs="Times New Roman"/>
          <w:color w:val="000000"/>
          <w:sz w:val="24"/>
          <w:szCs w:val="24"/>
        </w:rPr>
        <w:t>Основание: пункты 17, 20, 32 СГС «Учетная политика, оценочные значения и ошибки».</w:t>
      </w:r>
    </w:p>
    <w:p w14:paraId="3276BBCE">
      <w:pPr>
        <w:spacing w:line="600" w:lineRule="atLeast"/>
        <w:rPr>
          <w:b/>
          <w:bCs/>
          <w:color w:val="252525"/>
          <w:spacing w:val="-2"/>
          <w:sz w:val="24"/>
          <w:szCs w:val="24"/>
        </w:rPr>
      </w:pPr>
      <w:r>
        <w:rPr>
          <w:b/>
          <w:bCs/>
          <w:color w:val="252525"/>
          <w:spacing w:val="-2"/>
          <w:sz w:val="24"/>
          <w:szCs w:val="24"/>
        </w:rPr>
        <w:t>II. План счетов</w:t>
      </w:r>
    </w:p>
    <w:p w14:paraId="0C317B2D">
      <w:pPr>
        <w:spacing w:line="240" w:lineRule="auto"/>
        <w:rPr>
          <w:rFonts w:hAnsi="Times New Roman" w:cs="Times New Roman"/>
          <w:color w:val="000000"/>
          <w:sz w:val="24"/>
          <w:szCs w:val="24"/>
        </w:rPr>
      </w:pPr>
      <w:r>
        <w:rPr>
          <w:rFonts w:hAnsi="Times New Roman" w:cs="Times New Roman"/>
          <w:color w:val="000000"/>
          <w:sz w:val="24"/>
          <w:szCs w:val="24"/>
        </w:rPr>
        <w:t>1. Бюджетный учет ведется с использованием Рабочего плана счетов (приложение 10), разработанного в соответствии с СГС «Единый план счетов» № 121н и СГС «План счетов бюджетного учета» № 132н .</w:t>
      </w:r>
    </w:p>
    <w:p w14:paraId="64813651">
      <w:pPr>
        <w:spacing w:line="240" w:lineRule="auto"/>
        <w:rPr>
          <w:rFonts w:hAnsi="Times New Roman" w:cs="Times New Roman"/>
          <w:color w:val="000000"/>
          <w:sz w:val="24"/>
          <w:szCs w:val="24"/>
        </w:rPr>
      </w:pPr>
      <w:r>
        <w:rPr>
          <w:rFonts w:hAnsi="Times New Roman" w:cs="Times New Roman"/>
          <w:color w:val="000000"/>
          <w:sz w:val="24"/>
          <w:szCs w:val="24"/>
        </w:rPr>
        <w:t>Кроме забалансовых счетов, утвержденных в СГС «Единый план счетов» № 121н, учреждение по согласованию с ГРБС применяет дополнительные забалансовые счета, утвержденные в Рабочем плане счетов (приложении 10).</w:t>
      </w:r>
    </w:p>
    <w:p w14:paraId="17012F03">
      <w:pPr>
        <w:spacing w:line="240" w:lineRule="auto"/>
        <w:rPr>
          <w:rFonts w:hAnsi="Times New Roman" w:cs="Times New Roman"/>
          <w:color w:val="000000"/>
          <w:sz w:val="24"/>
          <w:szCs w:val="24"/>
        </w:rPr>
      </w:pPr>
      <w:r>
        <w:rPr>
          <w:rFonts w:hAnsi="Times New Roman" w:cs="Times New Roman"/>
          <w:color w:val="000000"/>
          <w:sz w:val="24"/>
          <w:szCs w:val="24"/>
        </w:rPr>
        <w:t>2. По согласованию с ГРБС к счету 0.303.05.000 «Расчеты по прочим платежам в бюджет» применяются дополнительные аналитические коды:</w:t>
      </w:r>
    </w:p>
    <w:p w14:paraId="1A53EE19">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1 – «Государственная пошлина» (0.303.</w:t>
      </w:r>
      <w:r>
        <w:rPr>
          <w:rFonts w:hAnsi="Times New Roman" w:cs="Times New Roman"/>
          <w:b/>
          <w:bCs/>
          <w:color w:val="000000"/>
          <w:sz w:val="24"/>
          <w:szCs w:val="24"/>
        </w:rPr>
        <w:t>1</w:t>
      </w:r>
      <w:r>
        <w:rPr>
          <w:rFonts w:hAnsi="Times New Roman" w:cs="Times New Roman"/>
          <w:color w:val="000000"/>
          <w:sz w:val="24"/>
          <w:szCs w:val="24"/>
        </w:rPr>
        <w:t>5.000);</w:t>
      </w:r>
    </w:p>
    <w:p w14:paraId="72FE9D01">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2 – «Транспортный налог» (0.303.</w:t>
      </w:r>
      <w:r>
        <w:rPr>
          <w:rFonts w:hAnsi="Times New Roman" w:cs="Times New Roman"/>
          <w:b/>
          <w:bCs/>
          <w:color w:val="000000"/>
          <w:sz w:val="24"/>
          <w:szCs w:val="24"/>
        </w:rPr>
        <w:t>2</w:t>
      </w:r>
      <w:r>
        <w:rPr>
          <w:rFonts w:hAnsi="Times New Roman" w:cs="Times New Roman"/>
          <w:color w:val="000000"/>
          <w:sz w:val="24"/>
          <w:szCs w:val="24"/>
        </w:rPr>
        <w:t>5.000);</w:t>
      </w:r>
    </w:p>
    <w:p w14:paraId="41F25DD3">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3 – «Пени, штрафы, санкции по налоговым платежам» (0.303.</w:t>
      </w:r>
      <w:r>
        <w:rPr>
          <w:rFonts w:hAnsi="Times New Roman" w:cs="Times New Roman"/>
          <w:b/>
          <w:bCs/>
          <w:color w:val="000000"/>
          <w:sz w:val="24"/>
          <w:szCs w:val="24"/>
        </w:rPr>
        <w:t>3</w:t>
      </w:r>
      <w:r>
        <w:rPr>
          <w:rFonts w:hAnsi="Times New Roman" w:cs="Times New Roman"/>
          <w:color w:val="000000"/>
          <w:sz w:val="24"/>
          <w:szCs w:val="24"/>
        </w:rPr>
        <w:t>5.000);</w:t>
      </w:r>
    </w:p>
    <w:p w14:paraId="3CAFD8A4">
      <w:pPr>
        <w:numPr>
          <w:ilvl w:val="0"/>
          <w:numId w:val="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4 – «Возмещение СФР расходов страхователя, понесенных в связи с реализацией требований, установленных законодательством» (0.303.</w:t>
      </w:r>
      <w:r>
        <w:rPr>
          <w:rFonts w:hAnsi="Times New Roman" w:cs="Times New Roman"/>
          <w:b/>
          <w:bCs/>
          <w:color w:val="000000"/>
          <w:sz w:val="24"/>
          <w:szCs w:val="24"/>
        </w:rPr>
        <w:t>4</w:t>
      </w:r>
      <w:r>
        <w:rPr>
          <w:rFonts w:hAnsi="Times New Roman" w:cs="Times New Roman"/>
          <w:color w:val="000000"/>
          <w:sz w:val="24"/>
          <w:szCs w:val="24"/>
        </w:rPr>
        <w:t>5.000).</w:t>
      </w:r>
    </w:p>
    <w:p w14:paraId="06C776AF">
      <w:pPr>
        <w:spacing w:line="240" w:lineRule="auto"/>
        <w:rPr>
          <w:rFonts w:hAnsi="Times New Roman" w:cs="Times New Roman"/>
          <w:color w:val="000000"/>
          <w:sz w:val="24"/>
          <w:szCs w:val="24"/>
        </w:rPr>
      </w:pPr>
      <w:r>
        <w:rPr>
          <w:rFonts w:hAnsi="Times New Roman" w:cs="Times New Roman"/>
          <w:color w:val="000000"/>
          <w:sz w:val="24"/>
          <w:szCs w:val="24"/>
        </w:rPr>
        <w:t>Основание: пункты 17, 19 СГС «Единый план счетов» № 121н, пункт 19 СГС «Концептуальные основы бухучета и отчетности».</w:t>
      </w:r>
    </w:p>
    <w:p w14:paraId="16DC998B">
      <w:pPr>
        <w:spacing w:line="600" w:lineRule="atLeast"/>
        <w:rPr>
          <w:b/>
          <w:bCs/>
          <w:color w:val="252525"/>
          <w:spacing w:val="-2"/>
          <w:sz w:val="24"/>
          <w:szCs w:val="24"/>
        </w:rPr>
      </w:pPr>
      <w:r>
        <w:rPr>
          <w:b/>
          <w:bCs/>
          <w:color w:val="252525"/>
          <w:spacing w:val="-2"/>
          <w:sz w:val="24"/>
          <w:szCs w:val="24"/>
        </w:rPr>
        <w:t>III. Технология</w:t>
      </w:r>
      <w:r>
        <w:rPr>
          <w:rFonts w:hint="default"/>
          <w:b/>
          <w:bCs/>
          <w:color w:val="252525"/>
          <w:spacing w:val="-2"/>
          <w:sz w:val="24"/>
          <w:szCs w:val="24"/>
          <w:lang w:val="ru-RU"/>
        </w:rPr>
        <w:t xml:space="preserve"> </w:t>
      </w:r>
      <w:r>
        <w:rPr>
          <w:b/>
          <w:bCs/>
          <w:color w:val="252525"/>
          <w:spacing w:val="-2"/>
          <w:sz w:val="24"/>
          <w:szCs w:val="24"/>
        </w:rPr>
        <w:t> составления, передачи документов для отражения в бухгалтерском</w:t>
      </w:r>
      <w:r>
        <w:rPr>
          <w:rFonts w:hint="default"/>
          <w:b/>
          <w:bCs/>
          <w:color w:val="252525"/>
          <w:spacing w:val="-2"/>
          <w:sz w:val="24"/>
          <w:szCs w:val="24"/>
          <w:lang w:val="ru-RU"/>
        </w:rPr>
        <w:t xml:space="preserve"> </w:t>
      </w:r>
      <w:r>
        <w:rPr>
          <w:b/>
          <w:bCs/>
          <w:color w:val="252525"/>
          <w:spacing w:val="-2"/>
          <w:sz w:val="24"/>
          <w:szCs w:val="24"/>
        </w:rPr>
        <w:t>учете</w:t>
      </w:r>
    </w:p>
    <w:p w14:paraId="2FFF9634">
      <w:pPr>
        <w:spacing w:line="240" w:lineRule="auto"/>
        <w:rPr>
          <w:rFonts w:hAnsi="Times New Roman" w:cs="Times New Roman"/>
          <w:color w:val="000000"/>
          <w:sz w:val="24"/>
          <w:szCs w:val="24"/>
        </w:rPr>
      </w:pPr>
      <w:r>
        <w:rPr>
          <w:rFonts w:hAnsi="Times New Roman" w:cs="Times New Roman"/>
          <w:color w:val="000000"/>
          <w:sz w:val="24"/>
          <w:szCs w:val="24"/>
        </w:rPr>
        <w:t>1. Бухучет ведется в автоматизированной форме с применением программных продуктов «</w:t>
      </w:r>
      <w:r>
        <w:rPr>
          <w:rFonts w:hint="default" w:hAnsi="Times New Roman" w:cs="Times New Roman"/>
          <w:color w:val="000000"/>
          <w:sz w:val="24"/>
          <w:szCs w:val="24"/>
          <w:lang w:val="ru-RU"/>
        </w:rPr>
        <w:t>1С:</w:t>
      </w:r>
      <w:r>
        <w:rPr>
          <w:rFonts w:hAnsi="Times New Roman" w:cs="Times New Roman"/>
          <w:color w:val="000000"/>
          <w:sz w:val="24"/>
          <w:szCs w:val="24"/>
        </w:rPr>
        <w:t>Бухгалтерия» и «</w:t>
      </w:r>
      <w:r>
        <w:rPr>
          <w:rFonts w:hint="default" w:hAnsi="Times New Roman" w:cs="Times New Roman"/>
          <w:color w:val="000000"/>
          <w:sz w:val="24"/>
          <w:szCs w:val="24"/>
          <w:lang w:val="ru-RU"/>
        </w:rPr>
        <w:t>1С:Камин</w:t>
      </w:r>
      <w:r>
        <w:rPr>
          <w:rFonts w:hAnsi="Times New Roman" w:cs="Times New Roman"/>
          <w:color w:val="000000"/>
          <w:sz w:val="24"/>
          <w:szCs w:val="24"/>
        </w:rPr>
        <w:t>».</w:t>
      </w:r>
      <w:r>
        <w:br w:type="textWrapping"/>
      </w:r>
      <w:r>
        <w:rPr>
          <w:rFonts w:hAnsi="Times New Roman" w:cs="Times New Roman"/>
          <w:color w:val="000000"/>
          <w:sz w:val="24"/>
          <w:szCs w:val="24"/>
        </w:rPr>
        <w:t>Основание: подпункт «д» пункта 9 СГС «Учетная политика, оценочные значения и ошибки».</w:t>
      </w:r>
    </w:p>
    <w:p w14:paraId="5DFD8764">
      <w:pPr>
        <w:spacing w:line="240" w:lineRule="auto"/>
        <w:rPr>
          <w:rFonts w:hAnsi="Times New Roman" w:cs="Times New Roman"/>
          <w:color w:val="000000"/>
          <w:sz w:val="24"/>
          <w:szCs w:val="24"/>
        </w:rPr>
      </w:pPr>
      <w:r>
        <w:rPr>
          <w:rFonts w:hAnsi="Times New Roman" w:cs="Times New Roman"/>
          <w:color w:val="000000"/>
          <w:sz w:val="24"/>
          <w:szCs w:val="24"/>
        </w:rPr>
        <w:t>2. С использованием телекоммуникационных каналов связи и электронной подписи  учреждени</w:t>
      </w:r>
      <w:r>
        <w:rPr>
          <w:rFonts w:hAnsi="Times New Roman" w:cs="Times New Roman"/>
          <w:color w:val="000000"/>
          <w:sz w:val="24"/>
          <w:szCs w:val="24"/>
          <w:lang w:val="ru-RU"/>
        </w:rPr>
        <w:t>е</w:t>
      </w:r>
      <w:r>
        <w:rPr>
          <w:rFonts w:hAnsi="Times New Roman" w:cs="Times New Roman"/>
          <w:color w:val="000000"/>
          <w:sz w:val="24"/>
          <w:szCs w:val="24"/>
        </w:rPr>
        <w:t xml:space="preserve"> осуществляет электронный документооборот по следующим направлениям:</w:t>
      </w:r>
    </w:p>
    <w:p w14:paraId="56E07ECE">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внутренний документооборот;</w:t>
      </w:r>
    </w:p>
    <w:p w14:paraId="0BDC1397">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система электронного документооборота с территориальным органом Федерального казначейства;</w:t>
      </w:r>
    </w:p>
    <w:p w14:paraId="1937C6D5">
      <w:pPr>
        <w:numPr>
          <w:ilvl w:val="0"/>
          <w:numId w:val="0"/>
        </w:numPr>
        <w:spacing w:beforeAutospacing="1" w:afterAutospacing="1" w:line="240" w:lineRule="auto"/>
        <w:ind w:left="420" w:leftChars="0" w:right="180" w:rightChars="0" w:firstLine="240" w:firstLineChars="100"/>
        <w:contextualSpacing/>
        <w:rPr>
          <w:rFonts w:hAnsi="Times New Roman" w:cs="Times New Roman"/>
          <w:color w:val="000000"/>
          <w:sz w:val="24"/>
          <w:szCs w:val="24"/>
        </w:rPr>
      </w:pPr>
      <w:r>
        <w:rPr>
          <w:rFonts w:hAnsi="Times New Roman" w:cs="Times New Roman"/>
          <w:color w:val="000000"/>
          <w:sz w:val="24"/>
          <w:szCs w:val="24"/>
        </w:rPr>
        <w:t>передача отчетности по налогам, сборам и иным обязательным платежам в инспекцию Федеральной налоговой службы;</w:t>
      </w:r>
    </w:p>
    <w:p w14:paraId="21625C65">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 xml:space="preserve">передача отчетности в отделение </w:t>
      </w:r>
      <w:r>
        <w:rPr>
          <w:rFonts w:hAnsi="Times New Roman" w:cs="Times New Roman"/>
          <w:color w:val="000000"/>
          <w:sz w:val="24"/>
          <w:szCs w:val="24"/>
          <w:lang w:val="ru-RU"/>
        </w:rPr>
        <w:t>Социального</w:t>
      </w:r>
      <w:r>
        <w:rPr>
          <w:rFonts w:hint="default" w:hAnsi="Times New Roman" w:cs="Times New Roman"/>
          <w:color w:val="000000"/>
          <w:sz w:val="24"/>
          <w:szCs w:val="24"/>
          <w:lang w:val="ru-RU"/>
        </w:rPr>
        <w:t xml:space="preserve"> </w:t>
      </w:r>
      <w:r>
        <w:rPr>
          <w:rFonts w:hAnsi="Times New Roman" w:cs="Times New Roman"/>
          <w:color w:val="000000"/>
          <w:sz w:val="24"/>
          <w:szCs w:val="24"/>
        </w:rPr>
        <w:t>Фонда</w:t>
      </w:r>
      <w:r>
        <w:rPr>
          <w:rFonts w:hint="default" w:hAnsi="Times New Roman" w:cs="Times New Roman"/>
          <w:color w:val="000000"/>
          <w:sz w:val="24"/>
          <w:szCs w:val="24"/>
          <w:lang w:val="ru-RU"/>
        </w:rPr>
        <w:t>.</w:t>
      </w:r>
      <w:r>
        <w:rPr>
          <w:rFonts w:hAnsi="Times New Roman" w:cs="Times New Roman"/>
          <w:color w:val="000000"/>
          <w:sz w:val="24"/>
          <w:szCs w:val="24"/>
        </w:rPr>
        <w:t>;</w:t>
      </w:r>
    </w:p>
    <w:p w14:paraId="36EC875E">
      <w:pPr>
        <w:numPr>
          <w:ilvl w:val="0"/>
          <w:numId w:val="0"/>
        </w:numPr>
        <w:spacing w:beforeAutospacing="1" w:afterAutospacing="1" w:line="240" w:lineRule="auto"/>
        <w:ind w:left="420" w:leftChars="0" w:right="180" w:rightChars="0"/>
        <w:rPr>
          <w:rFonts w:hAnsi="Times New Roman" w:cs="Times New Roman"/>
          <w:color w:val="000000"/>
          <w:sz w:val="24"/>
          <w:szCs w:val="24"/>
        </w:rPr>
      </w:pPr>
    </w:p>
    <w:p w14:paraId="787D6507">
      <w:pPr>
        <w:spacing w:line="240" w:lineRule="auto"/>
        <w:rPr>
          <w:rFonts w:hAnsi="Times New Roman" w:cs="Times New Roman"/>
          <w:color w:val="000000"/>
          <w:sz w:val="24"/>
          <w:szCs w:val="24"/>
        </w:rPr>
      </w:pPr>
      <w:r>
        <w:rPr>
          <w:rFonts w:hAnsi="Times New Roman" w:cs="Times New Roman"/>
          <w:color w:val="000000"/>
          <w:sz w:val="24"/>
          <w:szCs w:val="24"/>
        </w:rPr>
        <w:t>С</w:t>
      </w:r>
      <w:r>
        <w:rPr>
          <w:rFonts w:hAnsi="Times New Roman" w:cs="Times New Roman"/>
          <w:color w:val="000000"/>
          <w:sz w:val="24"/>
          <w:szCs w:val="24"/>
          <w:lang w:val="ru-RU"/>
        </w:rPr>
        <w:t>о</w:t>
      </w:r>
      <w:r>
        <w:rPr>
          <w:rFonts w:hAnsi="Times New Roman" w:cs="Times New Roman"/>
          <w:color w:val="000000"/>
          <w:sz w:val="24"/>
          <w:szCs w:val="24"/>
        </w:rPr>
        <w:t>здание электронных документов бухгалтерского учета и их обмен внутри учреждения осуществляется с использованием бухгалтерской программы «1С: Бухгалтерия государственного учреждения». Сдача бухгалтерской (финансовой) отчетности — в  «</w:t>
      </w:r>
      <w:r>
        <w:rPr>
          <w:rFonts w:hAnsi="Times New Roman" w:cs="Times New Roman"/>
          <w:color w:val="000000"/>
          <w:sz w:val="24"/>
          <w:szCs w:val="24"/>
          <w:lang w:val="ru-RU"/>
        </w:rPr>
        <w:t>СВОД</w:t>
      </w:r>
      <w:r>
        <w:rPr>
          <w:rFonts w:hint="default" w:hAnsi="Times New Roman" w:cs="Times New Roman"/>
          <w:color w:val="000000"/>
          <w:sz w:val="24"/>
          <w:szCs w:val="24"/>
          <w:lang w:val="ru-RU"/>
        </w:rPr>
        <w:t>-СМАРТ</w:t>
      </w:r>
      <w:r>
        <w:rPr>
          <w:rFonts w:hAnsi="Times New Roman" w:cs="Times New Roman"/>
          <w:color w:val="000000"/>
          <w:sz w:val="24"/>
          <w:szCs w:val="24"/>
        </w:rPr>
        <w:t>».</w:t>
      </w:r>
    </w:p>
    <w:p w14:paraId="1ADBE0E0">
      <w:pPr>
        <w:spacing w:line="240" w:lineRule="auto"/>
        <w:rPr>
          <w:rFonts w:hAnsi="Times New Roman" w:cs="Times New Roman"/>
          <w:color w:val="000000"/>
          <w:sz w:val="24"/>
          <w:szCs w:val="24"/>
        </w:rPr>
      </w:pPr>
      <w:r>
        <w:rPr>
          <w:rFonts w:hAnsi="Times New Roman" w:cs="Times New Roman"/>
          <w:color w:val="000000"/>
          <w:sz w:val="24"/>
          <w:szCs w:val="24"/>
        </w:rPr>
        <w:t>Обмен финансовыми и другими документами с территориальным органом Федерального казначейства осуществляется в системе удаленного финансового документооборота органов Федерального казначейства — СУФД-online.</w:t>
      </w:r>
    </w:p>
    <w:p w14:paraId="7B89D022">
      <w:pPr>
        <w:spacing w:line="240" w:lineRule="auto"/>
        <w:rPr>
          <w:rFonts w:hAnsi="Times New Roman" w:cs="Times New Roman"/>
          <w:color w:val="000000"/>
          <w:sz w:val="24"/>
          <w:szCs w:val="24"/>
        </w:rPr>
      </w:pPr>
      <w:r>
        <w:rPr>
          <w:rFonts w:hAnsi="Times New Roman" w:cs="Times New Roman"/>
          <w:color w:val="000000"/>
          <w:sz w:val="24"/>
          <w:szCs w:val="24"/>
        </w:rPr>
        <w:t>Основание: пункт 1 приложения № 2 к СГС «Учетная политика, оценочные значения и ошибки».</w:t>
      </w:r>
    </w:p>
    <w:p w14:paraId="7624D515">
      <w:pPr>
        <w:spacing w:line="240" w:lineRule="auto"/>
        <w:rPr>
          <w:rFonts w:hAnsi="Times New Roman" w:cs="Times New Roman"/>
          <w:color w:val="000000"/>
          <w:sz w:val="24"/>
          <w:szCs w:val="24"/>
        </w:rPr>
      </w:pPr>
      <w:r>
        <w:rPr>
          <w:rFonts w:hint="default" w:hAnsi="Times New Roman" w:cs="Times New Roman"/>
          <w:color w:val="000000"/>
          <w:sz w:val="24"/>
          <w:szCs w:val="24"/>
          <w:lang w:val="ru-RU"/>
        </w:rPr>
        <w:t>3</w:t>
      </w:r>
      <w:r>
        <w:rPr>
          <w:rFonts w:hAnsi="Times New Roman" w:cs="Times New Roman"/>
          <w:color w:val="000000"/>
          <w:sz w:val="24"/>
          <w:szCs w:val="24"/>
        </w:rPr>
        <w:t>. В целях обеспечения сохранности электронных данных бухгалтерского учета и отчетности:</w:t>
      </w:r>
    </w:p>
    <w:p w14:paraId="0E037028">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 внешний носитель информации ежедневно производится сохранение резервных копий базы «</w:t>
      </w:r>
      <w:r>
        <w:rPr>
          <w:rFonts w:hint="default" w:hAnsi="Times New Roman" w:cs="Times New Roman"/>
          <w:color w:val="000000"/>
          <w:sz w:val="24"/>
          <w:szCs w:val="24"/>
          <w:lang w:val="ru-RU"/>
        </w:rPr>
        <w:t>1С:</w:t>
      </w:r>
      <w:r>
        <w:rPr>
          <w:rFonts w:hAnsi="Times New Roman" w:cs="Times New Roman"/>
          <w:color w:val="000000"/>
          <w:sz w:val="24"/>
          <w:szCs w:val="24"/>
        </w:rPr>
        <w:t>Бухгалтерия» еженедельно — «</w:t>
      </w:r>
      <w:r>
        <w:rPr>
          <w:rFonts w:hint="default" w:hAnsi="Times New Roman" w:cs="Times New Roman"/>
          <w:color w:val="000000"/>
          <w:sz w:val="24"/>
          <w:szCs w:val="24"/>
          <w:lang w:val="ru-RU"/>
        </w:rPr>
        <w:t>1С:Камин</w:t>
      </w:r>
      <w:r>
        <w:rPr>
          <w:rFonts w:hAnsi="Times New Roman" w:cs="Times New Roman"/>
          <w:color w:val="000000"/>
          <w:sz w:val="24"/>
          <w:szCs w:val="24"/>
        </w:rPr>
        <w:t>»;</w:t>
      </w:r>
    </w:p>
    <w:p w14:paraId="625AFE4B">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 итогам квартала и отчетного года после сдачи отчетности производится запись копии базы данных на внешний носитель — флеш-карту, которая хранится в сейфе</w:t>
      </w:r>
      <w:r>
        <w:rPr>
          <w:rFonts w:hint="default" w:hAnsi="Times New Roman" w:cs="Times New Roman"/>
          <w:color w:val="000000"/>
          <w:sz w:val="24"/>
          <w:szCs w:val="24"/>
          <w:lang w:val="ru-RU"/>
        </w:rPr>
        <w:t xml:space="preserve"> </w:t>
      </w:r>
      <w:r>
        <w:rPr>
          <w:rFonts w:hAnsi="Times New Roman" w:cs="Times New Roman"/>
          <w:color w:val="000000"/>
          <w:sz w:val="24"/>
          <w:szCs w:val="24"/>
          <w:lang w:val="ru-RU"/>
        </w:rPr>
        <w:t>г</w:t>
      </w:r>
      <w:r>
        <w:rPr>
          <w:rFonts w:hint="default" w:hAnsi="Times New Roman" w:cs="Times New Roman"/>
          <w:color w:val="000000"/>
          <w:sz w:val="24"/>
          <w:szCs w:val="24"/>
          <w:lang w:val="ru-RU"/>
        </w:rPr>
        <w:t>лавного специалиста по ведению бухгалтерского учета</w:t>
      </w:r>
      <w:r>
        <w:rPr>
          <w:rFonts w:hAnsi="Times New Roman" w:cs="Times New Roman"/>
          <w:color w:val="000000"/>
          <w:sz w:val="24"/>
          <w:szCs w:val="24"/>
        </w:rPr>
        <w:t xml:space="preserve"> ;</w:t>
      </w:r>
    </w:p>
    <w:p w14:paraId="615A3693">
      <w:pPr>
        <w:numPr>
          <w:ilvl w:val="0"/>
          <w:numId w:val="6"/>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14:paraId="484389B0">
      <w:pPr>
        <w:spacing w:line="240" w:lineRule="auto"/>
        <w:rPr>
          <w:rFonts w:hAnsi="Times New Roman" w:cs="Times New Roman"/>
          <w:color w:val="000000"/>
          <w:sz w:val="24"/>
          <w:szCs w:val="24"/>
        </w:rPr>
      </w:pPr>
      <w:r>
        <w:rPr>
          <w:rFonts w:hAnsi="Times New Roman" w:cs="Times New Roman"/>
          <w:color w:val="000000"/>
          <w:sz w:val="24"/>
          <w:szCs w:val="24"/>
        </w:rPr>
        <w:t>Основание: пункт 1 приложения № 2 к СГС «Учетная политика, оценочные значения и ошибки».</w:t>
      </w:r>
    </w:p>
    <w:p w14:paraId="1C86293E">
      <w:pPr>
        <w:spacing w:line="240" w:lineRule="auto"/>
        <w:rPr>
          <w:rFonts w:hAnsi="Times New Roman" w:cs="Times New Roman"/>
          <w:color w:val="000000"/>
          <w:sz w:val="24"/>
          <w:szCs w:val="24"/>
        </w:rPr>
      </w:pPr>
      <w:r>
        <w:rPr>
          <w:rFonts w:hAnsi="Times New Roman" w:cs="Times New Roman"/>
          <w:color w:val="000000"/>
          <w:sz w:val="24"/>
          <w:szCs w:val="24"/>
        </w:rPr>
        <w:t xml:space="preserve">4. Бумажные первичные документы, с которых сняты электронные скан-копии, хранятся в специальном шкафу с замком. Шкаф устанавливается в кабинете ответственного </w:t>
      </w:r>
      <w:r>
        <w:rPr>
          <w:rFonts w:hAnsi="Times New Roman" w:cs="Times New Roman"/>
          <w:color w:val="000000"/>
          <w:sz w:val="24"/>
          <w:szCs w:val="24"/>
          <w:lang w:val="ru-RU"/>
        </w:rPr>
        <w:t>г</w:t>
      </w:r>
      <w:r>
        <w:rPr>
          <w:rFonts w:hint="default" w:hAnsi="Times New Roman" w:cs="Times New Roman"/>
          <w:color w:val="000000"/>
          <w:sz w:val="24"/>
          <w:szCs w:val="24"/>
          <w:lang w:val="ru-RU"/>
        </w:rPr>
        <w:t>лавного специалиста по ведению бухгалтерского учета</w:t>
      </w:r>
      <w:r>
        <w:rPr>
          <w:rFonts w:hAnsi="Times New Roman" w:cs="Times New Roman"/>
          <w:color w:val="000000"/>
          <w:sz w:val="24"/>
          <w:szCs w:val="24"/>
        </w:rPr>
        <w:t xml:space="preserve"> таким образом, чтобы исключить воздействие прямого солнечного света. Кабинет должен быть оснащен системой видеонаблюдения и автономной системой пожаротушения. Доступ в кабинет имеют ограниченное число работников.</w:t>
      </w:r>
    </w:p>
    <w:p w14:paraId="3DDBCE07">
      <w:pPr>
        <w:spacing w:line="240" w:lineRule="auto"/>
        <w:rPr>
          <w:rFonts w:hAnsi="Times New Roman" w:cs="Times New Roman"/>
          <w:color w:val="000000"/>
          <w:sz w:val="24"/>
          <w:szCs w:val="24"/>
        </w:rPr>
      </w:pPr>
      <w:r>
        <w:rPr>
          <w:rFonts w:hAnsi="Times New Roman" w:cs="Times New Roman"/>
          <w:color w:val="000000"/>
          <w:sz w:val="24"/>
          <w:szCs w:val="24"/>
        </w:rPr>
        <w:t>Поступление и выбытие документов фиксируется в реестре учета документов. При передаче документов дополнительно указывается причина передачи и сроки возврата.</w:t>
      </w:r>
    </w:p>
    <w:p w14:paraId="3659CF32">
      <w:pPr>
        <w:spacing w:line="240" w:lineRule="auto"/>
        <w:rPr>
          <w:rFonts w:hAnsi="Times New Roman" w:cs="Times New Roman"/>
          <w:color w:val="000000"/>
          <w:sz w:val="24"/>
          <w:szCs w:val="24"/>
        </w:rPr>
      </w:pPr>
      <w:r>
        <w:rPr>
          <w:rFonts w:hAnsi="Times New Roman" w:cs="Times New Roman"/>
          <w:color w:val="000000"/>
          <w:sz w:val="24"/>
          <w:szCs w:val="24"/>
        </w:rPr>
        <w:t>Сотрудник  отвечающий за сохранность первичных документов и ведение реестра поступивших и выбывших документов, назначается приказом руководителя.</w:t>
      </w:r>
    </w:p>
    <w:p w14:paraId="243EE9DA">
      <w:pPr>
        <w:spacing w:line="240" w:lineRule="auto"/>
        <w:rPr>
          <w:rFonts w:hAnsi="Times New Roman" w:cs="Times New Roman"/>
          <w:color w:val="000000"/>
          <w:sz w:val="24"/>
          <w:szCs w:val="24"/>
        </w:rPr>
      </w:pPr>
      <w:r>
        <w:rPr>
          <w:rFonts w:hAnsi="Times New Roman" w:cs="Times New Roman"/>
          <w:color w:val="000000"/>
          <w:sz w:val="24"/>
          <w:szCs w:val="24"/>
        </w:rPr>
        <w:t>Основание: пункт 24 СГС «Единый план счетов» № 121н, пункт 33 СГС «Концептуальные основы бухучета и отчетности».</w:t>
      </w:r>
    </w:p>
    <w:p w14:paraId="0CAB72BE">
      <w:pPr>
        <w:spacing w:line="600" w:lineRule="atLeast"/>
        <w:rPr>
          <w:b/>
          <w:bCs/>
          <w:color w:val="252525"/>
          <w:spacing w:val="-2"/>
          <w:sz w:val="24"/>
          <w:szCs w:val="24"/>
        </w:rPr>
      </w:pPr>
      <w:r>
        <w:rPr>
          <w:b/>
          <w:bCs/>
          <w:color w:val="252525"/>
          <w:spacing w:val="-2"/>
          <w:sz w:val="24"/>
          <w:szCs w:val="24"/>
        </w:rPr>
        <w:t>IV. Правила документооборота</w:t>
      </w:r>
    </w:p>
    <w:p w14:paraId="17E6238E">
      <w:pPr>
        <w:spacing w:line="240" w:lineRule="auto"/>
        <w:rPr>
          <w:rFonts w:hAnsi="Times New Roman" w:cs="Times New Roman"/>
          <w:color w:val="000000"/>
          <w:sz w:val="24"/>
          <w:szCs w:val="24"/>
        </w:rPr>
      </w:pPr>
      <w:r>
        <w:rPr>
          <w:rFonts w:hAnsi="Times New Roman" w:cs="Times New Roman"/>
          <w:color w:val="000000"/>
          <w:sz w:val="24"/>
          <w:szCs w:val="24"/>
        </w:rPr>
        <w:t>1. Порядок и сроки передачи первичных учетных документов для отражения в бухгалтерском учете установлены в графике документооборота (приложение 21 к настоящей учетной политике).</w:t>
      </w:r>
      <w:r>
        <w:br w:type="textWrapping"/>
      </w:r>
      <w:r>
        <w:rPr>
          <w:rFonts w:hAnsi="Times New Roman" w:cs="Times New Roman"/>
          <w:color w:val="000000"/>
          <w:sz w:val="24"/>
          <w:szCs w:val="24"/>
        </w:rPr>
        <w:t>Основание: пункт 22 СГС «Концептуальные основы бухучета и отчетности», подпункт «д» пункта 9 СГС «Учетная политика, оценочные значения и ошибки».</w:t>
      </w:r>
    </w:p>
    <w:p w14:paraId="26E24441">
      <w:pPr>
        <w:spacing w:line="240" w:lineRule="auto"/>
        <w:rPr>
          <w:rFonts w:hAnsi="Times New Roman" w:cs="Times New Roman"/>
          <w:color w:val="000000"/>
          <w:sz w:val="24"/>
          <w:szCs w:val="24"/>
        </w:rPr>
      </w:pPr>
      <w:r>
        <w:rPr>
          <w:rFonts w:hAnsi="Times New Roman" w:cs="Times New Roman"/>
          <w:color w:val="000000"/>
          <w:sz w:val="24"/>
          <w:szCs w:val="24"/>
        </w:rPr>
        <w:t>2. Первичные документы составляют и передают</w:t>
      </w:r>
      <w:r>
        <w:rPr>
          <w:rFonts w:hint="default" w:hAnsi="Times New Roman" w:cs="Times New Roman"/>
          <w:color w:val="000000"/>
          <w:sz w:val="24"/>
          <w:szCs w:val="24"/>
          <w:lang w:val="ru-RU"/>
        </w:rPr>
        <w:t xml:space="preserve"> </w:t>
      </w:r>
      <w:r>
        <w:rPr>
          <w:rFonts w:hAnsi="Times New Roman" w:cs="Times New Roman"/>
          <w:color w:val="000000"/>
          <w:sz w:val="24"/>
          <w:szCs w:val="24"/>
          <w:lang w:val="ru-RU"/>
        </w:rPr>
        <w:t>г</w:t>
      </w:r>
      <w:r>
        <w:rPr>
          <w:rFonts w:hint="default" w:hAnsi="Times New Roman" w:cs="Times New Roman"/>
          <w:color w:val="000000"/>
          <w:sz w:val="24"/>
          <w:szCs w:val="24"/>
          <w:lang w:val="ru-RU"/>
        </w:rPr>
        <w:t>лавному специалисту по ведению бухгалтерского учета</w:t>
      </w:r>
      <w:r>
        <w:rPr>
          <w:rFonts w:hAnsi="Times New Roman" w:cs="Times New Roman"/>
          <w:color w:val="000000"/>
          <w:sz w:val="24"/>
          <w:szCs w:val="24"/>
        </w:rPr>
        <w:t xml:space="preserve"> лица, ответственные за оформление факта хозяйственной жизни. Документы бухгалтерского учета передаются в срок, установленный в графике документооборота. Если в графике срок не установлен, документ бухгалтерского учета или иная информация передается в течение трех рабочих дней со дня оформления, но не позднее последнего рабочего дня месяца, в котором факт хозяйственной жизни произошел.</w:t>
      </w:r>
    </w:p>
    <w:p w14:paraId="5871F6A3">
      <w:pPr>
        <w:spacing w:line="240" w:lineRule="auto"/>
        <w:rPr>
          <w:rFonts w:hAnsi="Times New Roman" w:cs="Times New Roman"/>
          <w:color w:val="000000"/>
          <w:sz w:val="24"/>
          <w:szCs w:val="24"/>
        </w:rPr>
      </w:pPr>
      <w:r>
        <w:rPr>
          <w:rFonts w:hAnsi="Times New Roman" w:cs="Times New Roman"/>
          <w:color w:val="000000"/>
          <w:sz w:val="24"/>
          <w:szCs w:val="24"/>
        </w:rPr>
        <w:t>При создании, обработке и передаче документов обеспечивается защита персональных данных в порядке, установленном в положении о защите персональных данных, которое утверждается руководителем учреждения.</w:t>
      </w:r>
    </w:p>
    <w:p w14:paraId="45FA138D">
      <w:pPr>
        <w:spacing w:line="240" w:lineRule="auto"/>
        <w:rPr>
          <w:rFonts w:hAnsi="Times New Roman" w:cs="Times New Roman"/>
          <w:color w:val="000000"/>
          <w:sz w:val="24"/>
          <w:szCs w:val="24"/>
        </w:rPr>
      </w:pPr>
      <w:r>
        <w:rPr>
          <w:rFonts w:hAnsi="Times New Roman" w:cs="Times New Roman"/>
          <w:color w:val="000000"/>
          <w:sz w:val="24"/>
          <w:szCs w:val="24"/>
        </w:rPr>
        <w:t>Ответственность за 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сотрудники, составившие и подписавшие указанные документы.</w:t>
      </w:r>
    </w:p>
    <w:p w14:paraId="2348B671">
      <w:pPr>
        <w:spacing w:line="240" w:lineRule="auto"/>
        <w:rPr>
          <w:rFonts w:hAnsi="Times New Roman" w:cs="Times New Roman"/>
          <w:color w:val="000000"/>
          <w:sz w:val="24"/>
          <w:szCs w:val="24"/>
        </w:rPr>
      </w:pPr>
      <w:r>
        <w:rPr>
          <w:rFonts w:hAnsi="Times New Roman" w:cs="Times New Roman"/>
          <w:color w:val="000000"/>
          <w:sz w:val="24"/>
          <w:szCs w:val="24"/>
        </w:rPr>
        <w:t>С графиком документооборота, а также с каждым изменением к нему должны ознакомиться все сотрудники, ответственные за оформление и представление первичных документов. Факт ознакомления и собственноручная подпись сотрудника об ознакомлении регистрируются в Журнале ознакомления, форма которого утверждена в приложении к учетной политике.</w:t>
      </w:r>
    </w:p>
    <w:p w14:paraId="6D462193">
      <w:pPr>
        <w:spacing w:line="240" w:lineRule="auto"/>
        <w:rPr>
          <w:rFonts w:hAnsi="Times New Roman" w:cs="Times New Roman"/>
          <w:color w:val="000000"/>
          <w:sz w:val="24"/>
          <w:szCs w:val="24"/>
        </w:rPr>
      </w:pPr>
      <w:r>
        <w:rPr>
          <w:rFonts w:hAnsi="Times New Roman" w:cs="Times New Roman"/>
          <w:color w:val="000000"/>
          <w:sz w:val="24"/>
          <w:szCs w:val="24"/>
        </w:rPr>
        <w:t>В случае, если ответственный сотрудник не передал  первичный документ в срок, установленный в графике,</w:t>
      </w:r>
      <w:r>
        <w:rPr>
          <w:rFonts w:hint="default" w:hAnsi="Times New Roman" w:cs="Times New Roman"/>
          <w:color w:val="000000"/>
          <w:sz w:val="24"/>
          <w:szCs w:val="24"/>
          <w:lang w:val="ru-RU"/>
        </w:rPr>
        <w:t xml:space="preserve"> </w:t>
      </w:r>
      <w:r>
        <w:rPr>
          <w:rFonts w:hAnsi="Times New Roman" w:cs="Times New Roman"/>
          <w:color w:val="000000"/>
          <w:sz w:val="24"/>
          <w:szCs w:val="24"/>
          <w:lang w:val="ru-RU"/>
        </w:rPr>
        <w:t>г</w:t>
      </w:r>
      <w:r>
        <w:rPr>
          <w:rFonts w:hint="default" w:hAnsi="Times New Roman" w:cs="Times New Roman"/>
          <w:color w:val="000000"/>
          <w:sz w:val="24"/>
          <w:szCs w:val="24"/>
          <w:lang w:val="ru-RU"/>
        </w:rPr>
        <w:t>лавный специалист по ведению бухгалтерского учета</w:t>
      </w:r>
      <w:r>
        <w:rPr>
          <w:rFonts w:hAnsi="Times New Roman" w:cs="Times New Roman"/>
          <w:color w:val="000000"/>
          <w:sz w:val="24"/>
          <w:szCs w:val="24"/>
        </w:rPr>
        <w:t xml:space="preserve"> уведомляет об этом сотрудника руководителя учреждения. Для этого каждому из них </w:t>
      </w:r>
      <w:r>
        <w:rPr>
          <w:rFonts w:hint="default" w:hAnsi="Times New Roman" w:cs="Times New Roman"/>
          <w:color w:val="000000"/>
          <w:sz w:val="24"/>
          <w:szCs w:val="24"/>
          <w:lang w:val="ru-RU"/>
        </w:rPr>
        <w:t xml:space="preserve"> </w:t>
      </w:r>
      <w:r>
        <w:rPr>
          <w:rFonts w:hAnsi="Times New Roman" w:cs="Times New Roman"/>
          <w:color w:val="000000"/>
          <w:sz w:val="24"/>
          <w:szCs w:val="24"/>
          <w:lang w:val="ru-RU"/>
        </w:rPr>
        <w:t>г</w:t>
      </w:r>
      <w:r>
        <w:rPr>
          <w:rFonts w:hint="default" w:hAnsi="Times New Roman" w:cs="Times New Roman"/>
          <w:color w:val="000000"/>
          <w:sz w:val="24"/>
          <w:szCs w:val="24"/>
          <w:lang w:val="ru-RU"/>
        </w:rPr>
        <w:t>лавный специалист по ведению бухгалтерского учета</w:t>
      </w:r>
      <w:r>
        <w:rPr>
          <w:rFonts w:hAnsi="Times New Roman" w:cs="Times New Roman"/>
          <w:color w:val="000000"/>
          <w:sz w:val="24"/>
          <w:szCs w:val="24"/>
        </w:rPr>
        <w:t xml:space="preserve"> направляет уведомление не позднее одного рабочего дня со дня истечения срока представления документа по графику. Форма уведомления утверждена в приложении к учетной политике.</w:t>
      </w:r>
    </w:p>
    <w:p w14:paraId="6059565B">
      <w:pPr>
        <w:spacing w:line="240" w:lineRule="auto"/>
        <w:rPr>
          <w:rFonts w:hAnsi="Times New Roman" w:cs="Times New Roman"/>
          <w:color w:val="000000"/>
          <w:sz w:val="24"/>
          <w:szCs w:val="24"/>
        </w:rPr>
      </w:pPr>
      <w:r>
        <w:rPr>
          <w:rFonts w:hAnsi="Times New Roman" w:cs="Times New Roman"/>
          <w:color w:val="000000"/>
          <w:sz w:val="24"/>
          <w:szCs w:val="24"/>
        </w:rPr>
        <w:t>Основание: пункт 1, подпункты «г», «ж» пункта 6 приложения № 2 к СГС «Учетная политика, оценочные значения и ошибки», часть 3 статьи 9 Закона № 402-ФЗ.</w:t>
      </w:r>
    </w:p>
    <w:p w14:paraId="5B937274">
      <w:pPr>
        <w:spacing w:line="240" w:lineRule="auto"/>
        <w:rPr>
          <w:rFonts w:hAnsi="Times New Roman" w:cs="Times New Roman"/>
          <w:color w:val="000000"/>
          <w:sz w:val="24"/>
          <w:szCs w:val="24"/>
        </w:rPr>
      </w:pPr>
      <w:r>
        <w:rPr>
          <w:rFonts w:hAnsi="Times New Roman" w:cs="Times New Roman"/>
          <w:color w:val="000000"/>
          <w:sz w:val="24"/>
          <w:szCs w:val="24"/>
        </w:rPr>
        <w:t>3. При проведении хозяйственных операций используются унифицированные документы. Если для оформления хозяйственных операций не предусмотрены унифицированные документы, используются:</w:t>
      </w:r>
    </w:p>
    <w:p w14:paraId="79203632">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самостоятельно разработанные формы, которые приведены в приложении 5;</w:t>
      </w:r>
    </w:p>
    <w:p w14:paraId="73D90BE2">
      <w:pPr>
        <w:numPr>
          <w:ilvl w:val="0"/>
          <w:numId w:val="7"/>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унифицированные формы, дополненные необходимыми реквизитами.</w:t>
      </w:r>
    </w:p>
    <w:p w14:paraId="370BD9E1">
      <w:pPr>
        <w:spacing w:line="240" w:lineRule="auto"/>
        <w:rPr>
          <w:rFonts w:hAnsi="Times New Roman" w:cs="Times New Roman"/>
          <w:color w:val="000000"/>
          <w:sz w:val="24"/>
          <w:szCs w:val="24"/>
        </w:rPr>
      </w:pPr>
      <w:r>
        <w:rPr>
          <w:rFonts w:hAnsi="Times New Roman" w:cs="Times New Roman"/>
          <w:color w:val="000000"/>
          <w:sz w:val="24"/>
          <w:szCs w:val="24"/>
        </w:rPr>
        <w:t>Основание: пункты 25–26 СГС «Концептуальные основы бухучета и отчетности», подпункт «г» пункта 9 СГС «Учетная политика, оценочные значения и ошибки».</w:t>
      </w:r>
    </w:p>
    <w:p w14:paraId="6A25A64F">
      <w:pPr>
        <w:spacing w:line="240" w:lineRule="auto"/>
        <w:rPr>
          <w:rFonts w:hAnsi="Times New Roman" w:cs="Times New Roman"/>
          <w:color w:val="000000"/>
          <w:sz w:val="24"/>
          <w:szCs w:val="24"/>
        </w:rPr>
      </w:pPr>
      <w:r>
        <w:rPr>
          <w:rFonts w:hAnsi="Times New Roman" w:cs="Times New Roman"/>
          <w:color w:val="000000"/>
          <w:sz w:val="24"/>
          <w:szCs w:val="24"/>
        </w:rPr>
        <w:t xml:space="preserve">4. Для отражения в бухгалтерском учете принимаются документы, которые проверены сотрудниками  в соответствии </w:t>
      </w:r>
      <w:r>
        <w:rPr>
          <w:b w:val="0"/>
          <w:bCs w:val="0"/>
        </w:rPr>
        <w:t xml:space="preserve">в соответствии с </w:t>
      </w:r>
      <w:r>
        <w:rPr>
          <w:b w:val="0"/>
          <w:bCs w:val="0"/>
          <w:lang w:val="ru-RU"/>
        </w:rPr>
        <w:t>ведомственным</w:t>
      </w:r>
      <w:r>
        <w:rPr>
          <w:rFonts w:hint="default"/>
          <w:b w:val="0"/>
          <w:bCs w:val="0"/>
          <w:lang w:val="ru-RU"/>
        </w:rPr>
        <w:t xml:space="preserve"> стандартом</w:t>
      </w:r>
      <w:r>
        <w:rPr>
          <w:b w:val="0"/>
          <w:bCs w:val="0"/>
        </w:rPr>
        <w:t xml:space="preserve"> о внутреннем финансовом контроле</w:t>
      </w:r>
      <w:r>
        <w:rPr>
          <w:rFonts w:hint="default"/>
          <w:b w:val="0"/>
          <w:bCs w:val="0"/>
          <w:lang w:val="ru-RU"/>
        </w:rPr>
        <w:t>,</w:t>
      </w:r>
      <w:r>
        <w:rPr>
          <w:b w:val="0"/>
          <w:bCs w:val="0"/>
        </w:rPr>
        <w:t xml:space="preserve"> </w:t>
      </w:r>
      <w:r>
        <w:rPr>
          <w:b w:val="0"/>
          <w:bCs w:val="0"/>
          <w:lang w:val="ru-RU"/>
        </w:rPr>
        <w:t>утвержденным</w:t>
      </w:r>
      <w:r>
        <w:rPr>
          <w:rFonts w:hint="default"/>
          <w:b w:val="0"/>
          <w:bCs w:val="0"/>
          <w:lang w:val="ru-RU"/>
        </w:rPr>
        <w:t xml:space="preserve"> Постановлением Администрации Парамоновского сельского поселения от 26.12.2022г №76</w:t>
      </w:r>
      <w:r>
        <w:rPr>
          <w:rFonts w:hAnsi="Times New Roman" w:cs="Times New Roman"/>
          <w:color w:val="000000"/>
          <w:sz w:val="24"/>
          <w:szCs w:val="24"/>
        </w:rPr>
        <w:t>. Документы, оформленные с нарушением к учету не принима</w:t>
      </w:r>
      <w:r>
        <w:rPr>
          <w:rFonts w:hAnsi="Times New Roman" w:cs="Times New Roman"/>
          <w:color w:val="000000"/>
          <w:sz w:val="24"/>
          <w:szCs w:val="24"/>
          <w:lang w:val="ru-RU"/>
        </w:rPr>
        <w:t>ю</w:t>
      </w:r>
      <w:r>
        <w:rPr>
          <w:rFonts w:hAnsi="Times New Roman" w:cs="Times New Roman"/>
          <w:color w:val="000000"/>
          <w:sz w:val="24"/>
          <w:szCs w:val="24"/>
        </w:rPr>
        <w:t>т</w:t>
      </w:r>
      <w:r>
        <w:rPr>
          <w:rFonts w:hAnsi="Times New Roman" w:cs="Times New Roman"/>
          <w:color w:val="000000"/>
          <w:sz w:val="24"/>
          <w:szCs w:val="24"/>
          <w:lang w:val="ru-RU"/>
        </w:rPr>
        <w:t>ся</w:t>
      </w:r>
      <w:r>
        <w:rPr>
          <w:rFonts w:hAnsi="Times New Roman" w:cs="Times New Roman"/>
          <w:color w:val="000000"/>
          <w:sz w:val="24"/>
          <w:szCs w:val="24"/>
        </w:rPr>
        <w:t>.</w:t>
      </w:r>
      <w:r>
        <w:br w:type="textWrapping"/>
      </w:r>
      <w:r>
        <w:rPr>
          <w:rFonts w:hAnsi="Times New Roman" w:cs="Times New Roman"/>
          <w:color w:val="000000"/>
          <w:sz w:val="24"/>
          <w:szCs w:val="24"/>
        </w:rPr>
        <w:t>Основание: пункт 23 СГС «Концептуальные основы бухучета и отчетности», подпункт «з» пункта 7 приложения № 2 к СГС «Учетная политика, оценочные значения и ошибки».</w:t>
      </w:r>
    </w:p>
    <w:p w14:paraId="4D1F0691">
      <w:pPr>
        <w:spacing w:line="240" w:lineRule="auto"/>
        <w:rPr>
          <w:rFonts w:hAnsi="Times New Roman" w:cs="Times New Roman"/>
          <w:color w:val="000000"/>
          <w:sz w:val="24"/>
          <w:szCs w:val="24"/>
        </w:rPr>
      </w:pPr>
      <w:r>
        <w:rPr>
          <w:rFonts w:hAnsi="Times New Roman" w:cs="Times New Roman"/>
          <w:color w:val="000000"/>
          <w:sz w:val="24"/>
          <w:szCs w:val="24"/>
        </w:rPr>
        <w:t>5. Право подписи учетных документов предоставлено сотрудникам, занимающим должности, перечисленные в приложении 6. Пофамильный список сотрудников, имеющих право подписи, утверждается отдельным приказом руководителя.</w:t>
      </w:r>
      <w:r>
        <w:br w:type="textWrapping"/>
      </w:r>
      <w:r>
        <w:rPr>
          <w:rFonts w:hAnsi="Times New Roman" w:cs="Times New Roman"/>
          <w:color w:val="000000"/>
          <w:sz w:val="24"/>
          <w:szCs w:val="24"/>
        </w:rPr>
        <w:t>Основание: пункт 8 приложения № 2 к СГС «Учетная политика, оценочные значения и ошибки».</w:t>
      </w:r>
    </w:p>
    <w:p w14:paraId="5BE56310">
      <w:pPr>
        <w:spacing w:line="240" w:lineRule="auto"/>
        <w:rPr>
          <w:rFonts w:hAnsi="Times New Roman" w:cs="Times New Roman"/>
          <w:color w:val="000000"/>
          <w:sz w:val="24"/>
          <w:szCs w:val="24"/>
        </w:rPr>
      </w:pPr>
      <w:r>
        <w:rPr>
          <w:rFonts w:hAnsi="Times New Roman" w:cs="Times New Roman"/>
          <w:color w:val="000000"/>
          <w:sz w:val="24"/>
          <w:szCs w:val="24"/>
        </w:rPr>
        <w:t>6. Допускается оформление одного первичного учетного документа при осуществлении нескольких взаимосвязанных между собой фактов хозяйственной жизни – по учету имущества.</w:t>
      </w:r>
    </w:p>
    <w:p w14:paraId="3EC64117">
      <w:pPr>
        <w:spacing w:line="240" w:lineRule="auto"/>
        <w:rPr>
          <w:rFonts w:hAnsi="Times New Roman" w:cs="Times New Roman"/>
          <w:color w:val="000000"/>
          <w:sz w:val="24"/>
          <w:szCs w:val="24"/>
        </w:rPr>
      </w:pPr>
      <w:r>
        <w:rPr>
          <w:rFonts w:hAnsi="Times New Roman" w:cs="Times New Roman"/>
          <w:color w:val="000000"/>
          <w:sz w:val="24"/>
          <w:szCs w:val="24"/>
        </w:rPr>
        <w:t>С периодичностью один раз в месяц – в последний день месяца – оформляются:</w:t>
      </w:r>
    </w:p>
    <w:p w14:paraId="4D954992">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Ведомость группового начисления доходов (ф. 0510431);</w:t>
      </w:r>
    </w:p>
    <w:p w14:paraId="41F1BC10">
      <w:pPr>
        <w:numPr>
          <w:ilvl w:val="0"/>
          <w:numId w:val="8"/>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Ведомость выпадающих доходов (ф. 0510838).</w:t>
      </w:r>
    </w:p>
    <w:p w14:paraId="535B6F56">
      <w:pPr>
        <w:spacing w:line="240" w:lineRule="auto"/>
        <w:rPr>
          <w:rFonts w:hAnsi="Times New Roman" w:cs="Times New Roman"/>
          <w:color w:val="000000"/>
          <w:sz w:val="24"/>
          <w:szCs w:val="24"/>
        </w:rPr>
      </w:pPr>
      <w:r>
        <w:rPr>
          <w:rFonts w:hAnsi="Times New Roman" w:cs="Times New Roman"/>
          <w:color w:val="000000"/>
          <w:sz w:val="24"/>
          <w:szCs w:val="24"/>
        </w:rPr>
        <w:t>Одним первичным документом оформляется совокупность следующих фактов хозяйственной жизни:</w:t>
      </w:r>
    </w:p>
    <w:p w14:paraId="09811152">
      <w:pPr>
        <w:numPr>
          <w:ilvl w:val="0"/>
          <w:numId w:val="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начисление стипендии – Ведомостью начисления стипендии (утверждается учреждением самостоятельно);</w:t>
      </w:r>
    </w:p>
    <w:p w14:paraId="64164722">
      <w:pPr>
        <w:numPr>
          <w:ilvl w:val="0"/>
          <w:numId w:val="9"/>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выдача в прокат имущества физическим лицам – ведомостью предоставления в прокат имущества (утверждается учреждением самостоятельно).</w:t>
      </w:r>
    </w:p>
    <w:p w14:paraId="2C542C75">
      <w:pPr>
        <w:spacing w:line="240" w:lineRule="auto"/>
        <w:rPr>
          <w:rFonts w:hAnsi="Times New Roman" w:cs="Times New Roman"/>
          <w:color w:val="000000"/>
          <w:sz w:val="24"/>
          <w:szCs w:val="24"/>
        </w:rPr>
      </w:pPr>
      <w:r>
        <w:rPr>
          <w:rFonts w:hAnsi="Times New Roman" w:cs="Times New Roman"/>
          <w:color w:val="000000"/>
          <w:sz w:val="24"/>
          <w:szCs w:val="24"/>
        </w:rPr>
        <w:t>Основание: подпункт «в» пункт 9 приложения № 2 к СГС «Учетная политика, оценочные значения и ошибки».</w:t>
      </w:r>
    </w:p>
    <w:p w14:paraId="1DB51C00">
      <w:pPr>
        <w:spacing w:line="240" w:lineRule="auto"/>
        <w:rPr>
          <w:rFonts w:hAnsi="Times New Roman" w:cs="Times New Roman"/>
          <w:color w:val="000000"/>
          <w:sz w:val="24"/>
          <w:szCs w:val="24"/>
        </w:rPr>
      </w:pPr>
      <w:r>
        <w:rPr>
          <w:rFonts w:hAnsi="Times New Roman" w:cs="Times New Roman"/>
          <w:color w:val="000000"/>
          <w:sz w:val="24"/>
          <w:szCs w:val="24"/>
        </w:rPr>
        <w:t>7.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содержащем построчно: строка оригинала – строка перевода,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14:paraId="23F24E8E">
      <w:pPr>
        <w:spacing w:line="240" w:lineRule="auto"/>
        <w:rPr>
          <w:rFonts w:hAnsi="Times New Roman" w:cs="Times New Roman"/>
          <w:color w:val="000000"/>
          <w:sz w:val="24"/>
          <w:szCs w:val="24"/>
        </w:rPr>
      </w:pPr>
      <w:r>
        <w:rPr>
          <w:rFonts w:hAnsi="Times New Roman" w:cs="Times New Roman"/>
          <w:color w:val="000000"/>
          <w:sz w:val="24"/>
          <w:szCs w:val="24"/>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14:paraId="5F459FA6">
      <w:pPr>
        <w:spacing w:line="240" w:lineRule="auto"/>
        <w:rPr>
          <w:rFonts w:hAnsi="Times New Roman" w:cs="Times New Roman"/>
          <w:color w:val="000000"/>
          <w:sz w:val="24"/>
          <w:szCs w:val="24"/>
        </w:rPr>
      </w:pPr>
      <w:r>
        <w:rPr>
          <w:rFonts w:hAnsi="Times New Roman" w:cs="Times New Roman"/>
          <w:color w:val="000000"/>
          <w:sz w:val="24"/>
          <w:szCs w:val="24"/>
        </w:rPr>
        <w:t>Основание: пункт 31 СГС «Концептуальные основы бухучета и отчетности», пункт 7 приложения № 2 к СГС «Учетная политика, оценочные значения и ошибки».</w:t>
      </w:r>
    </w:p>
    <w:p w14:paraId="12F73212">
      <w:pPr>
        <w:spacing w:line="240" w:lineRule="auto"/>
        <w:rPr>
          <w:rFonts w:hAnsi="Times New Roman" w:cs="Times New Roman"/>
          <w:color w:val="000000"/>
          <w:sz w:val="24"/>
          <w:szCs w:val="24"/>
        </w:rPr>
      </w:pPr>
      <w:r>
        <w:rPr>
          <w:rFonts w:hAnsi="Times New Roman" w:cs="Times New Roman"/>
          <w:color w:val="000000"/>
          <w:sz w:val="24"/>
          <w:szCs w:val="24"/>
        </w:rPr>
        <w:t>8. В каждом первичном документе при создании указывается дата создания. Порядковый номер документа указывается при необходимости – если нумерация предусмотрена формой документа.</w:t>
      </w:r>
    </w:p>
    <w:p w14:paraId="64AD00EE">
      <w:pPr>
        <w:spacing w:line="240" w:lineRule="auto"/>
        <w:rPr>
          <w:rFonts w:hAnsi="Times New Roman" w:cs="Times New Roman"/>
          <w:color w:val="000000"/>
          <w:sz w:val="24"/>
          <w:szCs w:val="24"/>
        </w:rPr>
      </w:pPr>
      <w:r>
        <w:rPr>
          <w:rFonts w:hAnsi="Times New Roman" w:cs="Times New Roman"/>
          <w:color w:val="000000"/>
          <w:sz w:val="24"/>
          <w:szCs w:val="24"/>
        </w:rPr>
        <w:t>Если дата составления первичного документа или дата его подписания отличается от даты (периода) совершения факта хозяйственной жизни, в составе обязательных реквизитов такого документа отражается дата или период совершения факта хозяйственной жизни.</w:t>
      </w:r>
    </w:p>
    <w:p w14:paraId="2C752D12">
      <w:pPr>
        <w:spacing w:line="240" w:lineRule="auto"/>
        <w:rPr>
          <w:rFonts w:hAnsi="Times New Roman" w:cs="Times New Roman"/>
          <w:color w:val="000000"/>
          <w:sz w:val="24"/>
          <w:szCs w:val="24"/>
        </w:rPr>
      </w:pPr>
      <w:r>
        <w:rPr>
          <w:rFonts w:hAnsi="Times New Roman" w:cs="Times New Roman"/>
          <w:color w:val="000000"/>
          <w:sz w:val="24"/>
          <w:szCs w:val="24"/>
        </w:rPr>
        <w:t>Если в первичный учетный документ включены реквизиты из другого документа-основания, в первичном документе указывается информация, позволяющая идентифицировать соответствующий документ-основание.</w:t>
      </w:r>
    </w:p>
    <w:p w14:paraId="001B575C">
      <w:pPr>
        <w:spacing w:line="240" w:lineRule="auto"/>
        <w:rPr>
          <w:rFonts w:hAnsi="Times New Roman" w:cs="Times New Roman"/>
          <w:color w:val="000000"/>
          <w:sz w:val="24"/>
          <w:szCs w:val="24"/>
        </w:rPr>
      </w:pPr>
      <w:r>
        <w:rPr>
          <w:rFonts w:hAnsi="Times New Roman" w:cs="Times New Roman"/>
          <w:color w:val="000000"/>
          <w:sz w:val="24"/>
          <w:szCs w:val="24"/>
        </w:rPr>
        <w:t>Основание: пункт 7 приложения № 2 к СГС «Учетная политика, оценочные значения и ошибки».</w:t>
      </w:r>
    </w:p>
    <w:p w14:paraId="2E1C9071">
      <w:pPr>
        <w:spacing w:line="240" w:lineRule="auto"/>
        <w:rPr>
          <w:rFonts w:hAnsi="Times New Roman" w:cs="Times New Roman"/>
          <w:color w:val="000000"/>
          <w:sz w:val="24"/>
          <w:szCs w:val="24"/>
        </w:rPr>
      </w:pPr>
      <w:r>
        <w:rPr>
          <w:rFonts w:hAnsi="Times New Roman" w:cs="Times New Roman"/>
          <w:color w:val="000000"/>
          <w:sz w:val="24"/>
          <w:szCs w:val="24"/>
        </w:rPr>
        <w:t>9. Формирование электронных регистров бухучета осуществляется в следующем порядке:</w:t>
      </w:r>
    </w:p>
    <w:p w14:paraId="27670372">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Журнал операций (ф. 0509213) по всем забалансовым счетам формируется ежемесячно в случае, если в отчетном месяце были обороты по счету;</w:t>
      </w:r>
    </w:p>
    <w:p w14:paraId="78C5D1D3">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журнал регистрации приходных и расходных ордеров составляется ежемесячно в последний рабочий день месяца;</w:t>
      </w:r>
    </w:p>
    <w:p w14:paraId="107F9F75">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приходные и расходные кассовые ордера со статусом «подписан» аннулируются, если кассовая операция не проведена в течение двух рабочих дней, включая день оформления ордера;</w:t>
      </w:r>
    </w:p>
    <w:p w14:paraId="78ECE8BF">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w:t>
      </w:r>
    </w:p>
    <w:p w14:paraId="3D0C6245">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14:paraId="4111F0AF">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14:paraId="409B12CC">
      <w:pPr>
        <w:numPr>
          <w:ilvl w:val="0"/>
          <w:numId w:val="10"/>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другие регистры, не указанные выше, заполняются по мере необходимости, если иное не установлено законодательством РФ.</w:t>
      </w:r>
    </w:p>
    <w:p w14:paraId="3CC90736">
      <w:pPr>
        <w:spacing w:line="240" w:lineRule="auto"/>
        <w:rPr>
          <w:rFonts w:hAnsi="Times New Roman" w:cs="Times New Roman"/>
          <w:color w:val="000000"/>
          <w:sz w:val="24"/>
          <w:szCs w:val="24"/>
        </w:rPr>
      </w:pPr>
      <w:r>
        <w:rPr>
          <w:rFonts w:hAnsi="Times New Roman" w:cs="Times New Roman"/>
          <w:color w:val="000000"/>
          <w:sz w:val="24"/>
          <w:szCs w:val="24"/>
        </w:rPr>
        <w:t>Основание: Методические указания, утвержденные приказом Минфина от 30.03.2015 № 52н.</w:t>
      </w:r>
    </w:p>
    <w:p w14:paraId="0D019C79">
      <w:pPr>
        <w:spacing w:line="240" w:lineRule="auto"/>
        <w:rPr>
          <w:rFonts w:hAnsi="Times New Roman" w:cs="Times New Roman"/>
          <w:color w:val="000000"/>
          <w:sz w:val="24"/>
          <w:szCs w:val="24"/>
        </w:rPr>
      </w:pPr>
      <w:r>
        <w:rPr>
          <w:rFonts w:hAnsi="Times New Roman" w:cs="Times New Roman"/>
          <w:color w:val="000000"/>
          <w:sz w:val="24"/>
          <w:szCs w:val="24"/>
        </w:rPr>
        <w:t>Учетные регистры по операциям, указанным в пункте 2 раздела IV настоящей учетной политики, составляются отдельно.</w:t>
      </w:r>
    </w:p>
    <w:p w14:paraId="7CB0F434">
      <w:pPr>
        <w:spacing w:line="240" w:lineRule="auto"/>
        <w:rPr>
          <w:rFonts w:hAnsi="Times New Roman" w:cs="Times New Roman"/>
          <w:color w:val="000000"/>
          <w:sz w:val="24"/>
          <w:szCs w:val="24"/>
        </w:rPr>
      </w:pPr>
      <w:r>
        <w:rPr>
          <w:rFonts w:hAnsi="Times New Roman" w:cs="Times New Roman"/>
          <w:color w:val="000000"/>
          <w:sz w:val="24"/>
          <w:szCs w:val="24"/>
        </w:rPr>
        <w:t>10. Журнал операций расчетов по оплате труда, денежному довольствию и стипендиям (ф. 0504071) ведется раздельно по кодам финансового обеспечения деятельности и раздельно по счетам:</w:t>
      </w:r>
    </w:p>
    <w:p w14:paraId="141EFDA9">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КБК 1.302.11.000 «Расчеты по заработной плате» и КБК 1.302.13.000 «Расчеты по начислениям на выплаты по оплате труда»;</w:t>
      </w:r>
    </w:p>
    <w:p w14:paraId="6FBDD2A0">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КБК 1.302.12.000 «Расчеты по прочим несоциальным выплатам персоналу в денежной форме» и КБК 1.302.14.000 «Расчеты по прочим несоциальным выплатам персоналу в натуральной форме»;</w:t>
      </w:r>
    </w:p>
    <w:p w14:paraId="43031BC7">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КБК Х.302.66.000 «Расчеты по социальным пособиям и компенсациям персоналу в денежной форме» и КБК Х.302.67.000 «Расчеты по социальным компенсациям персоналу в натуральной форме»;</w:t>
      </w:r>
    </w:p>
    <w:p w14:paraId="229D7A24">
      <w:pPr>
        <w:numPr>
          <w:ilvl w:val="0"/>
          <w:numId w:val="1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КБК 1.302.96.000 «Расчеты по иным выплатам текущего характера физическим лицам».</w:t>
      </w:r>
    </w:p>
    <w:p w14:paraId="7F97C81A">
      <w:pPr>
        <w:spacing w:line="240" w:lineRule="auto"/>
        <w:rPr>
          <w:rFonts w:hAnsi="Times New Roman" w:cs="Times New Roman"/>
          <w:color w:val="000000"/>
          <w:sz w:val="24"/>
          <w:szCs w:val="24"/>
        </w:rPr>
      </w:pPr>
      <w:r>
        <w:rPr>
          <w:rFonts w:hAnsi="Times New Roman" w:cs="Times New Roman"/>
          <w:color w:val="000000"/>
          <w:sz w:val="24"/>
          <w:szCs w:val="24"/>
        </w:rPr>
        <w:t>Основание: пункт 146 СГС «Единый план счетов» № 121н.</w:t>
      </w:r>
    </w:p>
    <w:p w14:paraId="2D27B1DC">
      <w:pPr>
        <w:spacing w:line="240" w:lineRule="auto"/>
        <w:rPr>
          <w:rFonts w:hAnsi="Times New Roman" w:cs="Times New Roman"/>
          <w:color w:val="000000"/>
          <w:sz w:val="24"/>
          <w:szCs w:val="24"/>
        </w:rPr>
      </w:pPr>
      <w:r>
        <w:rPr>
          <w:rFonts w:hAnsi="Times New Roman" w:cs="Times New Roman"/>
          <w:color w:val="000000"/>
          <w:sz w:val="24"/>
          <w:szCs w:val="24"/>
        </w:rPr>
        <w:t>11. Журналам операций присваиваются номера согласно приложению 7. По операциям, указанным в пункте 2 раздела IV настоящей учетной политики, журналы операций ведутся отдельно. Журналы операций подписываются главным бухгалтером и бухгалтером, составившим журнал операций.</w:t>
      </w:r>
    </w:p>
    <w:p w14:paraId="1AF2F806">
      <w:pPr>
        <w:spacing w:line="240" w:lineRule="auto"/>
        <w:rPr>
          <w:rFonts w:hAnsi="Times New Roman" w:cs="Times New Roman"/>
          <w:color w:val="000000"/>
          <w:sz w:val="24"/>
          <w:szCs w:val="24"/>
        </w:rPr>
      </w:pPr>
      <w:r>
        <w:rPr>
          <w:rFonts w:hAnsi="Times New Roman" w:cs="Times New Roman"/>
          <w:color w:val="000000"/>
          <w:sz w:val="24"/>
          <w:szCs w:val="24"/>
        </w:rPr>
        <w:t>Журналы операций (ф. 0504071) ведутся раздельно по кодам финансового обеспечения. К журналам прилагаются первичные учетные документы согласно приложению 8.</w:t>
      </w:r>
    </w:p>
    <w:p w14:paraId="5B2374D8">
      <w:pPr>
        <w:spacing w:line="240" w:lineRule="auto"/>
        <w:rPr>
          <w:rFonts w:hAnsi="Times New Roman" w:cs="Times New Roman"/>
          <w:color w:val="000000"/>
          <w:sz w:val="24"/>
          <w:szCs w:val="24"/>
        </w:rPr>
      </w:pPr>
      <w:r>
        <w:rPr>
          <w:rFonts w:hAnsi="Times New Roman" w:cs="Times New Roman"/>
          <w:color w:val="000000"/>
          <w:sz w:val="24"/>
          <w:szCs w:val="24"/>
        </w:rPr>
        <w:t>12. Документы бухгалтерского учета составляются в форме электронного документа, подписанного квалифицированной электронной подписью. Исключение – оформление документов в структурных подразделениях, в которых нет компьютеров, программных средств или интернета, необходимых для оформления электронных документов. В этих случаях документ может быть составлен:</w:t>
      </w:r>
    </w:p>
    <w:p w14:paraId="1DFDAE0F">
      <w:pPr>
        <w:numPr>
          <w:ilvl w:val="0"/>
          <w:numId w:val="1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 бумажном носителе и заверен собственноручной подписью;</w:t>
      </w:r>
    </w:p>
    <w:p w14:paraId="03F8103B">
      <w:pPr>
        <w:numPr>
          <w:ilvl w:val="0"/>
          <w:numId w:val="1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автоматически – на компьютере посредством формирования электронного образа бумажного документа, содержащего обязательные реквизиты, предусмотренные формой документа. Далее документ распечатывается и собственноручного подписывается на бумажном носителе.</w:t>
      </w:r>
    </w:p>
    <w:p w14:paraId="6C58F38A">
      <w:pPr>
        <w:spacing w:line="240" w:lineRule="auto"/>
        <w:rPr>
          <w:rFonts w:hAnsi="Times New Roman" w:cs="Times New Roman"/>
          <w:color w:val="000000"/>
          <w:sz w:val="24"/>
          <w:szCs w:val="24"/>
        </w:rPr>
      </w:pPr>
      <w:r>
        <w:rPr>
          <w:rFonts w:hAnsi="Times New Roman" w:cs="Times New Roman"/>
          <w:color w:val="000000"/>
          <w:sz w:val="24"/>
          <w:szCs w:val="24"/>
        </w:rPr>
        <w:t>При передаче в бухгалтерию бумажных документов с них снимаются электронные скан-копии. Скан-копии изготавливает, подписывает электронной цифровой подписью (далее – ЭП) и несет ответственность за соответствие подлинникам:</w:t>
      </w:r>
    </w:p>
    <w:p w14:paraId="0B2C1EA7">
      <w:pPr>
        <w:numPr>
          <w:ilvl w:val="0"/>
          <w:numId w:val="1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сотрудник,, составивший оригинал, – по документам, созданным внутри учреждения;</w:t>
      </w:r>
    </w:p>
    <w:p w14:paraId="49CAA1BB">
      <w:pPr>
        <w:numPr>
          <w:ilvl w:val="0"/>
          <w:numId w:val="1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бухгалтер, ответственный за проведение операции в учете - по документам, поступившим от контрагентов, органов власти и других лиц.</w:t>
      </w:r>
    </w:p>
    <w:p w14:paraId="2797E4FC">
      <w:pPr>
        <w:spacing w:line="240" w:lineRule="auto"/>
        <w:rPr>
          <w:rFonts w:hAnsi="Times New Roman" w:cs="Times New Roman"/>
          <w:color w:val="000000"/>
          <w:sz w:val="24"/>
          <w:szCs w:val="24"/>
        </w:rPr>
      </w:pPr>
      <w:r>
        <w:rPr>
          <w:rFonts w:hAnsi="Times New Roman" w:cs="Times New Roman"/>
          <w:color w:val="000000"/>
          <w:sz w:val="24"/>
          <w:szCs w:val="24"/>
        </w:rPr>
        <w:t>Если скан‑копию изготавливает или подписывает иное уполномоченное лицо, ответственность за соответствие копии подлиннику возлагается на это лицо</w:t>
      </w:r>
    </w:p>
    <w:p w14:paraId="43790764">
      <w:pPr>
        <w:spacing w:line="240" w:lineRule="auto"/>
        <w:rPr>
          <w:rFonts w:hAnsi="Times New Roman" w:cs="Times New Roman"/>
          <w:color w:val="000000"/>
          <w:sz w:val="24"/>
          <w:szCs w:val="24"/>
        </w:rPr>
      </w:pPr>
      <w:r>
        <w:rPr>
          <w:rFonts w:hAnsi="Times New Roman" w:cs="Times New Roman"/>
          <w:color w:val="000000"/>
          <w:sz w:val="24"/>
          <w:szCs w:val="24"/>
        </w:rPr>
        <w:t>Основание: пункты 10–12 приложения № 2 к СГС «Учетная политика, оценочные значения и ошибки».</w:t>
      </w:r>
    </w:p>
    <w:p w14:paraId="6FDBD2B4">
      <w:pPr>
        <w:spacing w:line="240" w:lineRule="auto"/>
        <w:rPr>
          <w:rFonts w:hAnsi="Times New Roman" w:cs="Times New Roman"/>
          <w:color w:val="000000"/>
          <w:sz w:val="24"/>
          <w:szCs w:val="24"/>
        </w:rPr>
      </w:pPr>
      <w:r>
        <w:rPr>
          <w:rFonts w:hAnsi="Times New Roman" w:cs="Times New Roman"/>
          <w:color w:val="000000"/>
          <w:sz w:val="24"/>
          <w:szCs w:val="24"/>
        </w:rPr>
        <w:t>13.  По требованию контролирующих ведомств первичные документы и регистры учета представляются в электронном виде. При невозможности ведомства получить документ в электронном виде копии электронных первичных документов и регистров бухгалтерского учета распечатываются на бумажном носителе и заверяются руководителем собственноручной подписью.</w:t>
      </w:r>
    </w:p>
    <w:p w14:paraId="552CB2FA">
      <w:pPr>
        <w:spacing w:line="240" w:lineRule="auto"/>
        <w:rPr>
          <w:rFonts w:hAnsi="Times New Roman" w:cs="Times New Roman"/>
          <w:color w:val="000000"/>
          <w:sz w:val="24"/>
          <w:szCs w:val="24"/>
        </w:rPr>
      </w:pPr>
      <w:r>
        <w:rPr>
          <w:rFonts w:hAnsi="Times New Roman" w:cs="Times New Roman"/>
          <w:color w:val="000000"/>
          <w:sz w:val="24"/>
          <w:szCs w:val="24"/>
        </w:rPr>
        <w:t>При заверении одной страницы электронного документа (регистра) проставляется штамп «Копия электронного документа верна», должность заверившего лица, собственноручная подпись, расшифровка подписи и дата заверения.</w:t>
      </w:r>
      <w:r>
        <w:br w:type="textWrapping"/>
      </w:r>
      <w:r>
        <w:rPr>
          <w:rFonts w:hAnsi="Times New Roman" w:cs="Times New Roman"/>
          <w:color w:val="000000"/>
          <w:sz w:val="24"/>
          <w:szCs w:val="24"/>
        </w:rPr>
        <w:t>При заверении многостраничного документа заверяется копия каждого листа.</w:t>
      </w:r>
    </w:p>
    <w:p w14:paraId="171D7159">
      <w:pPr>
        <w:spacing w:line="240" w:lineRule="auto"/>
        <w:rPr>
          <w:rFonts w:hAnsi="Times New Roman" w:cs="Times New Roman"/>
          <w:color w:val="000000"/>
          <w:sz w:val="24"/>
          <w:szCs w:val="24"/>
        </w:rPr>
      </w:pPr>
      <w:r>
        <w:rPr>
          <w:rFonts w:hAnsi="Times New Roman" w:cs="Times New Roman"/>
          <w:color w:val="000000"/>
          <w:sz w:val="24"/>
          <w:szCs w:val="24"/>
        </w:rPr>
        <w:t>Основание: часть 5 статьи 9 Закона от 06.12.2011 № 402-ФЗ,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p>
    <w:p w14:paraId="4F44517F">
      <w:pPr>
        <w:spacing w:line="240" w:lineRule="auto"/>
        <w:rPr>
          <w:rFonts w:hAnsi="Times New Roman" w:cs="Times New Roman"/>
          <w:color w:val="000000"/>
          <w:sz w:val="24"/>
          <w:szCs w:val="24"/>
        </w:rPr>
      </w:pPr>
      <w:r>
        <w:rPr>
          <w:rFonts w:hAnsi="Times New Roman" w:cs="Times New Roman"/>
          <w:color w:val="000000"/>
          <w:sz w:val="24"/>
          <w:szCs w:val="24"/>
        </w:rPr>
        <w:t>14.Электронные документы и регистры учета, подписанные квалифицированной электронной подписью, хранятся в электронном виде на съемных носителях информации в соответствии с порядком учета и хранения съемных носителей информации. При этом ведется журнал учета и движения электронных носителей. Журнал должен быть пронумерован, прошнурован и скреплен печатью учреждения. Ведение и хранение журнала возлагается приказом руководителя на ответственного сотрудника учреждения.</w:t>
      </w:r>
    </w:p>
    <w:p w14:paraId="4CBFDBD9">
      <w:pPr>
        <w:spacing w:line="240" w:lineRule="auto"/>
        <w:rPr>
          <w:rFonts w:hAnsi="Times New Roman" w:cs="Times New Roman"/>
          <w:color w:val="000000"/>
          <w:sz w:val="24"/>
          <w:szCs w:val="24"/>
        </w:rPr>
      </w:pPr>
      <w:r>
        <w:rPr>
          <w:rFonts w:hAnsi="Times New Roman" w:cs="Times New Roman"/>
          <w:color w:val="000000"/>
          <w:sz w:val="24"/>
          <w:szCs w:val="24"/>
        </w:rPr>
        <w:t>Основание: пункт 33 СГС «Концептуальные основы бухучета и отчетности».</w:t>
      </w:r>
    </w:p>
    <w:p w14:paraId="1E4C0569">
      <w:pPr>
        <w:spacing w:line="240" w:lineRule="auto"/>
        <w:rPr>
          <w:rFonts w:hAnsi="Times New Roman" w:cs="Times New Roman"/>
          <w:color w:val="000000"/>
          <w:sz w:val="24"/>
          <w:szCs w:val="24"/>
        </w:rPr>
      </w:pPr>
      <w:r>
        <w:rPr>
          <w:rFonts w:hAnsi="Times New Roman" w:cs="Times New Roman"/>
          <w:color w:val="000000"/>
          <w:sz w:val="24"/>
          <w:szCs w:val="24"/>
        </w:rPr>
        <w:t xml:space="preserve">15. При необходимости изготовления бумажных копий электронных документов и регистров бухгалтерского учета бумажные копии заверяются штампом, который проставляется автоматически при распечатке документа: «Документ подписан электронной подписью в системе электронного документооборота </w:t>
      </w:r>
      <w:r>
        <w:rPr>
          <w:rFonts w:hAnsi="Times New Roman" w:cs="Times New Roman"/>
          <w:color w:val="000000"/>
          <w:sz w:val="24"/>
          <w:szCs w:val="24"/>
          <w:lang w:val="ru-RU"/>
        </w:rPr>
        <w:t>Администрации</w:t>
      </w:r>
      <w:r>
        <w:rPr>
          <w:rFonts w:hint="default" w:hAnsi="Times New Roman" w:cs="Times New Roman"/>
          <w:color w:val="000000"/>
          <w:sz w:val="24"/>
          <w:szCs w:val="24"/>
          <w:lang w:val="ru-RU"/>
        </w:rPr>
        <w:t xml:space="preserve"> Парамоновского сельского поселения</w:t>
      </w:r>
      <w:r>
        <w:rPr>
          <w:rFonts w:hAnsi="Times New Roman" w:cs="Times New Roman"/>
          <w:color w:val="000000"/>
          <w:sz w:val="24"/>
          <w:szCs w:val="24"/>
        </w:rPr>
        <w:t>, – с указанием сведений о сертификате ЭП – кому выдан и срок действия. Дополнительно сотрудник бухгалтерии, ответственный за обработку документа, ведение регистра, ставит надпись «Копия верна», дату распечатки и свою подпись.</w:t>
      </w:r>
    </w:p>
    <w:p w14:paraId="0015E64E">
      <w:pPr>
        <w:spacing w:line="240" w:lineRule="auto"/>
        <w:rPr>
          <w:rFonts w:hAnsi="Times New Roman" w:cs="Times New Roman"/>
          <w:color w:val="000000"/>
          <w:sz w:val="24"/>
          <w:szCs w:val="24"/>
        </w:rPr>
      </w:pPr>
      <w:r>
        <w:rPr>
          <w:rFonts w:hAnsi="Times New Roman" w:cs="Times New Roman"/>
          <w:color w:val="000000"/>
          <w:sz w:val="24"/>
          <w:szCs w:val="24"/>
        </w:rPr>
        <w:t>Основание: пункт 32 СГС «Концептуальные основы бухучета и отчетности».</w:t>
      </w:r>
    </w:p>
    <w:p w14:paraId="0E647E20">
      <w:pPr>
        <w:spacing w:line="240" w:lineRule="auto"/>
        <w:rPr>
          <w:rFonts w:hAnsi="Times New Roman" w:cs="Times New Roman"/>
          <w:color w:val="000000"/>
          <w:sz w:val="24"/>
          <w:szCs w:val="24"/>
        </w:rPr>
      </w:pPr>
      <w:r>
        <w:rPr>
          <w:rFonts w:hAnsi="Times New Roman" w:cs="Times New Roman"/>
          <w:color w:val="000000"/>
          <w:sz w:val="24"/>
          <w:szCs w:val="24"/>
        </w:rPr>
        <w:t>16. В деятельности учреждения используются следующие бланки строгой отчетности</w:t>
      </w:r>
      <w:r>
        <w:rPr>
          <w:rFonts w:hint="default" w:hAnsi="Times New Roman" w:cs="Times New Roman"/>
          <w:color w:val="000000"/>
          <w:sz w:val="24"/>
          <w:szCs w:val="24"/>
          <w:lang w:val="ru-RU"/>
        </w:rPr>
        <w:t xml:space="preserve">: </w:t>
      </w:r>
      <w:r>
        <w:rPr>
          <w:rFonts w:hAnsi="Times New Roman" w:cs="Times New Roman"/>
          <w:color w:val="000000"/>
          <w:sz w:val="24"/>
          <w:szCs w:val="24"/>
        </w:rPr>
        <w:t>бланки трудовых книжек и вкладышей к ним;</w:t>
      </w:r>
    </w:p>
    <w:p w14:paraId="79084EA0">
      <w:pPr>
        <w:spacing w:line="240" w:lineRule="auto"/>
        <w:rPr>
          <w:rFonts w:hAnsi="Times New Roman" w:cs="Times New Roman"/>
          <w:color w:val="000000"/>
          <w:sz w:val="24"/>
          <w:szCs w:val="24"/>
        </w:rPr>
      </w:pPr>
      <w:r>
        <w:rPr>
          <w:rFonts w:hAnsi="Times New Roman" w:cs="Times New Roman"/>
          <w:color w:val="000000"/>
          <w:sz w:val="24"/>
          <w:szCs w:val="24"/>
        </w:rPr>
        <w:t>Учет бланков ведется по стоимости их приобретения.</w:t>
      </w:r>
    </w:p>
    <w:p w14:paraId="235366A1">
      <w:pPr>
        <w:spacing w:line="240" w:lineRule="auto"/>
        <w:rPr>
          <w:rFonts w:hAnsi="Times New Roman" w:cs="Times New Roman"/>
          <w:color w:val="000000"/>
          <w:sz w:val="24"/>
          <w:szCs w:val="24"/>
        </w:rPr>
      </w:pPr>
      <w:r>
        <w:rPr>
          <w:rFonts w:hAnsi="Times New Roman" w:cs="Times New Roman"/>
          <w:color w:val="000000"/>
          <w:sz w:val="24"/>
          <w:szCs w:val="24"/>
        </w:rPr>
        <w:t>Основание: пункт 225 СГС «Единый план счетов» № 121н.</w:t>
      </w:r>
    </w:p>
    <w:p w14:paraId="26A54602">
      <w:pPr>
        <w:spacing w:line="240" w:lineRule="auto"/>
        <w:rPr>
          <w:rFonts w:hAnsi="Times New Roman" w:cs="Times New Roman"/>
          <w:color w:val="000000"/>
          <w:sz w:val="24"/>
          <w:szCs w:val="24"/>
        </w:rPr>
      </w:pPr>
      <w:r>
        <w:rPr>
          <w:rFonts w:hAnsi="Times New Roman" w:cs="Times New Roman"/>
          <w:color w:val="000000"/>
          <w:sz w:val="24"/>
          <w:szCs w:val="24"/>
        </w:rPr>
        <w:t>Бланки строгой отчетности хранятся в металлических шкафах и (или) сейфах в структурных подразделениях учреждения. По окончании рабочего дня места хранения бланков опечатываются.</w:t>
      </w:r>
    </w:p>
    <w:p w14:paraId="60F8AC42">
      <w:pPr>
        <w:spacing w:line="240" w:lineRule="auto"/>
        <w:rPr>
          <w:rFonts w:hAnsi="Times New Roman" w:cs="Times New Roman"/>
          <w:color w:val="000000"/>
          <w:sz w:val="24"/>
          <w:szCs w:val="24"/>
        </w:rPr>
      </w:pPr>
      <w:r>
        <w:rPr>
          <w:rFonts w:hAnsi="Times New Roman" w:cs="Times New Roman"/>
          <w:color w:val="000000"/>
          <w:sz w:val="24"/>
          <w:szCs w:val="24"/>
        </w:rPr>
        <w:t>17. Перечень должностей сотрудников, ответственных за учет, хранение и выдачу бланков строгой отчетности, приведен в приложении 9.</w:t>
      </w:r>
    </w:p>
    <w:p w14:paraId="0D2F3EF2">
      <w:pPr>
        <w:spacing w:line="240" w:lineRule="auto"/>
        <w:rPr>
          <w:rFonts w:hAnsi="Times New Roman" w:cs="Times New Roman"/>
          <w:color w:val="000000"/>
          <w:sz w:val="24"/>
          <w:szCs w:val="24"/>
        </w:rPr>
      </w:pPr>
      <w:r>
        <w:rPr>
          <w:rFonts w:hAnsi="Times New Roman" w:cs="Times New Roman"/>
          <w:color w:val="000000"/>
          <w:sz w:val="24"/>
          <w:szCs w:val="24"/>
        </w:rPr>
        <w:t>18. Особенности применения первичных документов и регистров учета:</w:t>
      </w:r>
    </w:p>
    <w:p w14:paraId="5EDD64F0">
      <w:pPr>
        <w:spacing w:line="240" w:lineRule="auto"/>
        <w:rPr>
          <w:rFonts w:hAnsi="Times New Roman" w:cs="Times New Roman"/>
          <w:color w:val="000000"/>
          <w:sz w:val="24"/>
          <w:szCs w:val="24"/>
        </w:rPr>
      </w:pPr>
      <w:r>
        <w:rPr>
          <w:rFonts w:hAnsi="Times New Roman" w:cs="Times New Roman"/>
          <w:color w:val="000000"/>
          <w:sz w:val="24"/>
          <w:szCs w:val="24"/>
        </w:rPr>
        <w:t>18.1.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14:paraId="3BD1E9AA">
      <w:pPr>
        <w:spacing w:line="240" w:lineRule="auto"/>
        <w:rPr>
          <w:rFonts w:hAnsi="Times New Roman" w:cs="Times New Roman"/>
          <w:color w:val="000000"/>
          <w:sz w:val="24"/>
          <w:szCs w:val="24"/>
        </w:rPr>
      </w:pPr>
      <w:r>
        <w:rPr>
          <w:rFonts w:hAnsi="Times New Roman" w:cs="Times New Roman"/>
          <w:color w:val="000000"/>
          <w:sz w:val="24"/>
          <w:szCs w:val="24"/>
        </w:rPr>
        <w:t>18.2. В Табеле учета использования рабочего времени (ф. 0504421) регистрируются случаи отклонений от нормального использования рабочего времени, установленного правилами трудового распорядка. В графах 20 и 37 отражаются итоговые данные неявок.</w:t>
      </w:r>
    </w:p>
    <w:p w14:paraId="3F03F0AE">
      <w:pPr>
        <w:spacing w:line="240" w:lineRule="auto"/>
        <w:rPr>
          <w:rFonts w:hAnsi="Times New Roman" w:cs="Times New Roman"/>
          <w:color w:val="000000"/>
          <w:sz w:val="24"/>
          <w:szCs w:val="24"/>
        </w:rPr>
      </w:pPr>
      <w:r>
        <w:rPr>
          <w:rFonts w:hAnsi="Times New Roman" w:cs="Times New Roman"/>
          <w:color w:val="000000"/>
          <w:sz w:val="24"/>
          <w:szCs w:val="24"/>
        </w:rPr>
        <w:t>Табель учета использования рабочего времени (ф. 0504421) дополнен условными обозначениями.</w:t>
      </w:r>
    </w:p>
    <w:tbl>
      <w:tblPr>
        <w:tblStyle w:val="4"/>
        <w:tblW w:w="5000" w:type="pct"/>
        <w:tblInd w:w="0" w:type="dxa"/>
        <w:tblLayout w:type="autofit"/>
        <w:tblCellMar>
          <w:top w:w="15" w:type="dxa"/>
          <w:left w:w="15" w:type="dxa"/>
          <w:bottom w:w="15" w:type="dxa"/>
          <w:right w:w="15" w:type="dxa"/>
        </w:tblCellMar>
      </w:tblPr>
      <w:tblGrid>
        <w:gridCol w:w="8516"/>
        <w:gridCol w:w="661"/>
      </w:tblGrid>
      <w:tr w14:paraId="5C7F2952">
        <w:tblPrEx>
          <w:tblCellMar>
            <w:top w:w="15" w:type="dxa"/>
            <w:left w:w="15" w:type="dxa"/>
            <w:bottom w:w="15" w:type="dxa"/>
            <w:right w:w="15" w:type="dxa"/>
          </w:tblCellMar>
        </w:tblPrEx>
        <w:trPr>
          <w:trHeight w:val="0" w:hRule="atLeast"/>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4FF281E8">
            <w:r>
              <w:rPr>
                <w:rFonts w:hAnsi="Times New Roman" w:cs="Times New Roman"/>
                <w:b/>
                <w:bCs/>
                <w:color w:val="000000"/>
                <w:sz w:val="24"/>
                <w:szCs w:val="24"/>
              </w:rPr>
              <w:t>Наименование показателя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7136C22C">
            <w:r>
              <w:rPr>
                <w:rFonts w:hAnsi="Times New Roman" w:cs="Times New Roman"/>
                <w:b/>
                <w:bCs/>
                <w:color w:val="000000"/>
                <w:sz w:val="24"/>
                <w:szCs w:val="24"/>
              </w:rPr>
              <w:t>Код</w:t>
            </w:r>
          </w:p>
        </w:tc>
      </w:tr>
      <w:tr w14:paraId="238E454C">
        <w:tblPrEx>
          <w:tblCellMar>
            <w:top w:w="15" w:type="dxa"/>
            <w:left w:w="15" w:type="dxa"/>
            <w:bottom w:w="15" w:type="dxa"/>
            <w:right w:w="15" w:type="dxa"/>
          </w:tblCellMar>
        </w:tblPrEx>
        <w:trPr>
          <w:trHeight w:val="0" w:hRule="atLeast"/>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7E277EC7">
            <w:r>
              <w:rPr>
                <w:rFonts w:hAnsi="Times New Roman" w:cs="Times New Roman"/>
                <w:color w:val="000000"/>
                <w:sz w:val="24"/>
                <w:szCs w:val="24"/>
              </w:rPr>
              <w:t>Дополнительные выходные дни (оплачиваемые)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4B45C7C4">
            <w:r>
              <w:rPr>
                <w:rFonts w:hAnsi="Times New Roman" w:cs="Times New Roman"/>
                <w:color w:val="000000"/>
                <w:sz w:val="24"/>
                <w:szCs w:val="24"/>
              </w:rPr>
              <w:t>ОВ</w:t>
            </w:r>
          </w:p>
        </w:tc>
      </w:tr>
      <w:tr w14:paraId="30D0351F">
        <w:tblPrEx>
          <w:tblCellMar>
            <w:top w:w="15" w:type="dxa"/>
            <w:left w:w="15" w:type="dxa"/>
            <w:bottom w:w="15" w:type="dxa"/>
            <w:right w:w="15" w:type="dxa"/>
          </w:tblCellMar>
        </w:tblPrEx>
        <w:trPr>
          <w:trHeight w:val="0" w:hRule="atLeast"/>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48C91EE9">
            <w:r>
              <w:rPr>
                <w:rFonts w:hAnsi="Times New Roman" w:cs="Times New Roman"/>
                <w:color w:val="000000"/>
                <w:sz w:val="24"/>
                <w:szCs w:val="24"/>
              </w:rPr>
              <w:t>Заключение под стражу</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7D35DDF5">
            <w:r>
              <w:rPr>
                <w:rFonts w:hAnsi="Times New Roman" w:cs="Times New Roman"/>
                <w:color w:val="000000"/>
                <w:sz w:val="24"/>
                <w:szCs w:val="24"/>
              </w:rPr>
              <w:t>ЗС</w:t>
            </w:r>
          </w:p>
        </w:tc>
      </w:tr>
      <w:tr w14:paraId="6729597A">
        <w:tblPrEx>
          <w:tblCellMar>
            <w:top w:w="15" w:type="dxa"/>
            <w:left w:w="15" w:type="dxa"/>
            <w:bottom w:w="15" w:type="dxa"/>
            <w:right w:w="15" w:type="dxa"/>
          </w:tblCellMar>
        </w:tblPrEx>
        <w:trPr>
          <w:trHeight w:val="0" w:hRule="atLeast"/>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21A982A">
            <w:r>
              <w:rPr>
                <w:rFonts w:hAnsi="Times New Roman" w:cs="Times New Roman"/>
                <w:color w:val="000000"/>
                <w:sz w:val="24"/>
                <w:szCs w:val="24"/>
              </w:rPr>
              <w:t>Нахождение в пути к месту вахты и обратно</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58112FCE">
            <w:r>
              <w:rPr>
                <w:rFonts w:hAnsi="Times New Roman" w:cs="Times New Roman"/>
                <w:color w:val="000000"/>
                <w:sz w:val="24"/>
                <w:szCs w:val="24"/>
              </w:rPr>
              <w:t>ДП</w:t>
            </w:r>
          </w:p>
        </w:tc>
      </w:tr>
      <w:tr w14:paraId="19E02ED3">
        <w:tblPrEx>
          <w:tblCellMar>
            <w:top w:w="15" w:type="dxa"/>
            <w:left w:w="15" w:type="dxa"/>
            <w:bottom w:w="15" w:type="dxa"/>
            <w:right w:w="15" w:type="dxa"/>
          </w:tblCellMar>
        </w:tblPrEx>
        <w:trPr>
          <w:trHeight w:val="0" w:hRule="atLeast"/>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00B2A7C1">
            <w:r>
              <w:rPr>
                <w:rFonts w:hAnsi="Times New Roman" w:cs="Times New Roman"/>
                <w:color w:val="000000"/>
                <w:sz w:val="24"/>
                <w:szCs w:val="24"/>
              </w:rPr>
              <w:t>Дополнительный оплачиваемый выходной день для прохождения диспансеризации</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1F06F7D9">
            <w:r>
              <w:rPr>
                <w:rFonts w:hAnsi="Times New Roman" w:cs="Times New Roman"/>
                <w:color w:val="000000"/>
                <w:sz w:val="24"/>
                <w:szCs w:val="24"/>
              </w:rPr>
              <w:t>Д</w:t>
            </w:r>
          </w:p>
        </w:tc>
      </w:tr>
      <w:tr w14:paraId="16C48880">
        <w:tblPrEx>
          <w:tblCellMar>
            <w:top w:w="15" w:type="dxa"/>
            <w:left w:w="15" w:type="dxa"/>
            <w:bottom w:w="15" w:type="dxa"/>
            <w:right w:w="15" w:type="dxa"/>
          </w:tblCellMar>
        </w:tblPrEx>
        <w:trPr>
          <w:trHeight w:val="0" w:hRule="atLeast"/>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14:paraId="469980C2">
            <w:r>
              <w:rPr>
                <w:rFonts w:hAnsi="Times New Roman" w:cs="Times New Roman"/>
                <w:color w:val="000000"/>
                <w:sz w:val="24"/>
                <w:szCs w:val="24"/>
              </w:rPr>
              <w:t>Нерабочий оплачиваемый день</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14D8BEFF">
            <w:r>
              <w:rPr>
                <w:rFonts w:hAnsi="Times New Roman" w:cs="Times New Roman"/>
                <w:color w:val="000000"/>
                <w:sz w:val="24"/>
                <w:szCs w:val="24"/>
              </w:rPr>
              <w:t>НОД</w:t>
            </w:r>
          </w:p>
        </w:tc>
      </w:tr>
      <w:tr w14:paraId="5874E508">
        <w:tblPrEx>
          <w:tblCellMar>
            <w:top w:w="15" w:type="dxa"/>
            <w:left w:w="15" w:type="dxa"/>
            <w:bottom w:w="15" w:type="dxa"/>
            <w:right w:w="15" w:type="dxa"/>
          </w:tblCellMar>
        </w:tblPrEx>
        <w:trPr>
          <w:trHeight w:val="0" w:hRule="atLeast"/>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14:paraId="0F510553">
            <w:r>
              <w:rPr>
                <w:rFonts w:hAnsi="Times New Roman" w:cs="Times New Roman"/>
                <w:color w:val="000000"/>
                <w:sz w:val="24"/>
                <w:szCs w:val="24"/>
              </w:rPr>
              <w:t>Выходные за вакцинацию с сохранением заработной платы</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6F423860">
            <w:r>
              <w:rPr>
                <w:rFonts w:hAnsi="Times New Roman" w:cs="Times New Roman"/>
                <w:color w:val="000000"/>
                <w:sz w:val="24"/>
                <w:szCs w:val="24"/>
              </w:rPr>
              <w:t>ВВ</w:t>
            </w:r>
          </w:p>
        </w:tc>
      </w:tr>
      <w:tr w14:paraId="072F638F">
        <w:tblPrEx>
          <w:tblCellMar>
            <w:top w:w="15" w:type="dxa"/>
            <w:left w:w="15" w:type="dxa"/>
            <w:bottom w:w="15" w:type="dxa"/>
            <w:right w:w="15" w:type="dxa"/>
          </w:tblCellMar>
        </w:tblPrEx>
        <w:trPr>
          <w:trHeight w:val="0" w:hRule="atLeast"/>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14:paraId="53BFA150">
            <w:r>
              <w:rPr>
                <w:rFonts w:hAnsi="Times New Roman" w:cs="Times New Roman"/>
                <w:color w:val="000000"/>
                <w:sz w:val="24"/>
                <w:szCs w:val="24"/>
              </w:rPr>
              <w:t>Приостановка действия трудового договора в связи с мобилизацией сотрудника</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490643B6">
            <w:r>
              <w:rPr>
                <w:rFonts w:hAnsi="Times New Roman" w:cs="Times New Roman"/>
                <w:color w:val="000000"/>
                <w:sz w:val="24"/>
                <w:szCs w:val="24"/>
              </w:rPr>
              <w:t>ПД</w:t>
            </w:r>
          </w:p>
        </w:tc>
      </w:tr>
      <w:tr w14:paraId="2D646F69">
        <w:tblPrEx>
          <w:tblCellMar>
            <w:top w:w="15" w:type="dxa"/>
            <w:left w:w="15" w:type="dxa"/>
            <w:bottom w:w="15" w:type="dxa"/>
            <w:right w:w="15" w:type="dxa"/>
          </w:tblCellMar>
        </w:tblPrEx>
        <w:trPr>
          <w:trHeight w:val="0" w:hRule="atLeast"/>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47BDA3E6">
            <w:r>
              <w:rPr>
                <w:rFonts w:hAnsi="Times New Roman" w:cs="Times New Roman"/>
                <w:color w:val="000000"/>
                <w:sz w:val="24"/>
                <w:szCs w:val="24"/>
              </w:rPr>
              <w:t>…</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023E603B">
            <w:pPr>
              <w:spacing w:before="100" w:beforeAutospacing="1" w:after="100" w:afterAutospacing="1" w:line="240" w:lineRule="auto"/>
              <w:ind w:left="75" w:right="75"/>
              <w:rPr>
                <w:rFonts w:hAnsi="Times New Roman" w:cs="Times New Roman"/>
                <w:color w:val="000000"/>
                <w:sz w:val="24"/>
                <w:szCs w:val="24"/>
              </w:rPr>
            </w:pPr>
          </w:p>
        </w:tc>
      </w:tr>
    </w:tbl>
    <w:p w14:paraId="2A290E2A">
      <w:pPr>
        <w:spacing w:line="240" w:lineRule="auto"/>
        <w:rPr>
          <w:rFonts w:hAnsi="Times New Roman" w:cs="Times New Roman"/>
          <w:color w:val="000000"/>
          <w:sz w:val="24"/>
          <w:szCs w:val="24"/>
        </w:rPr>
      </w:pPr>
      <w:r>
        <w:rPr>
          <w:rFonts w:hAnsi="Times New Roman" w:cs="Times New Roman"/>
          <w:color w:val="000000"/>
          <w:sz w:val="24"/>
          <w:szCs w:val="24"/>
        </w:rPr>
        <w:t>Расширено применение буквенного кода «Г» – Выполнение государственных обязанностей – для случаев выполнения сотрудниками общественных обязанностей (например, для регистрации дней медицинского освидетельствования перед сдачей крови, дней сдачи крови, дней, когда сотрудник отсутствовал по вызову в военкомат на военные сборы, по вызову в суд и другие госорганы в качестве свидетеля и пр.).</w:t>
      </w:r>
    </w:p>
    <w:p w14:paraId="5B776E96">
      <w:pPr>
        <w:spacing w:line="240" w:lineRule="auto"/>
        <w:rPr>
          <w:rFonts w:hAnsi="Times New Roman" w:cs="Times New Roman"/>
          <w:color w:val="000000"/>
          <w:sz w:val="24"/>
          <w:szCs w:val="24"/>
        </w:rPr>
      </w:pPr>
      <w:r>
        <w:rPr>
          <w:rFonts w:hAnsi="Times New Roman" w:cs="Times New Roman"/>
          <w:color w:val="000000"/>
          <w:sz w:val="24"/>
          <w:szCs w:val="24"/>
        </w:rPr>
        <w:t>18.3. При временном переводе работников на удаленный режим работы обмен документами, которые оформляются в бумажном виде, разрешается осуществлять по электронной почте посредством скан-копий.</w:t>
      </w:r>
    </w:p>
    <w:p w14:paraId="0C82FEEF">
      <w:pPr>
        <w:spacing w:line="240" w:lineRule="auto"/>
        <w:rPr>
          <w:rFonts w:hAnsi="Times New Roman" w:cs="Times New Roman"/>
          <w:color w:val="000000"/>
          <w:sz w:val="24"/>
          <w:szCs w:val="24"/>
        </w:rPr>
      </w:pPr>
      <w:r>
        <w:rPr>
          <w:rFonts w:hAnsi="Times New Roman" w:cs="Times New Roman"/>
          <w:color w:val="000000"/>
          <w:sz w:val="24"/>
          <w:szCs w:val="24"/>
        </w:rPr>
        <w:t>Скан-копия первичного документа изготавливается сотрудником, ответственным за факт хозяйственной жизни, в сроки, которые установлены графиком документооборота. Скан-копия направляется сотруднику, уполномоченному на согласование, в соответствии с графиком документооборота. Согласованием считается возврат электронного письма от получателя к отправителю со скан-копией подписанного документа.</w:t>
      </w:r>
    </w:p>
    <w:p w14:paraId="56C39D04">
      <w:pPr>
        <w:spacing w:line="240" w:lineRule="auto"/>
        <w:rPr>
          <w:rFonts w:hAnsi="Times New Roman" w:cs="Times New Roman"/>
          <w:color w:val="000000"/>
          <w:sz w:val="24"/>
          <w:szCs w:val="24"/>
        </w:rPr>
      </w:pPr>
      <w:r>
        <w:rPr>
          <w:rFonts w:hAnsi="Times New Roman" w:cs="Times New Roman"/>
          <w:color w:val="000000"/>
          <w:sz w:val="24"/>
          <w:szCs w:val="24"/>
        </w:rPr>
        <w:t>После окончания режима удаленной работы первичные документы, оформленные посредством обмена скан-копий, распечатываются на бумажном носителе и подписываются собственноручной подписью ответственных лиц.</w:t>
      </w:r>
    </w:p>
    <w:p w14:paraId="1A0C1727">
      <w:pPr>
        <w:spacing w:line="240" w:lineRule="auto"/>
        <w:rPr>
          <w:rFonts w:hAnsi="Times New Roman" w:cs="Times New Roman"/>
          <w:color w:val="000000"/>
          <w:sz w:val="24"/>
          <w:szCs w:val="24"/>
        </w:rPr>
      </w:pPr>
      <w:r>
        <w:rPr>
          <w:rFonts w:hAnsi="Times New Roman" w:cs="Times New Roman"/>
          <w:color w:val="000000"/>
          <w:sz w:val="24"/>
          <w:szCs w:val="24"/>
        </w:rPr>
        <w:t>18.4. Учреждение применяет путевой лист, форма которого утверждена в приложении 5 к учетной политике. Путевые листы регистрируются в бумажном журнале учета движения путевых листов, который учреждение ведет по унифицированной форме № 8 (утв. постановлением Госкомстата от 28.11.1997 № 78). Нумерация путевых листов ведется в простом хронологическом порядке, начиная с 1 января каждого следующего года.</w:t>
      </w:r>
      <w:r>
        <w:br w:type="textWrapping"/>
      </w:r>
      <w:r>
        <w:rPr>
          <w:rFonts w:hAnsi="Times New Roman" w:cs="Times New Roman"/>
          <w:color w:val="000000"/>
          <w:sz w:val="24"/>
          <w:szCs w:val="24"/>
        </w:rPr>
        <w:t>Основание: Федеральный закон от 06.03.2022 № 39-ФЗ.</w:t>
      </w:r>
    </w:p>
    <w:p w14:paraId="3BAD26F5">
      <w:pPr>
        <w:spacing w:line="240" w:lineRule="auto"/>
        <w:rPr>
          <w:rFonts w:hAnsi="Times New Roman" w:cs="Times New Roman"/>
          <w:color w:val="000000"/>
          <w:sz w:val="24"/>
          <w:szCs w:val="24"/>
        </w:rPr>
      </w:pPr>
      <w:r>
        <w:rPr>
          <w:rFonts w:hAnsi="Times New Roman" w:cs="Times New Roman"/>
          <w:color w:val="000000"/>
          <w:sz w:val="24"/>
          <w:szCs w:val="24"/>
        </w:rPr>
        <w:t>Информация о лицензии на медицинский осмотр в сведениях о медосмотре не указывается.</w:t>
      </w:r>
    </w:p>
    <w:p w14:paraId="35AB9FED">
      <w:pPr>
        <w:spacing w:line="240" w:lineRule="auto"/>
        <w:rPr>
          <w:rFonts w:hAnsi="Times New Roman" w:cs="Times New Roman"/>
          <w:color w:val="000000"/>
          <w:sz w:val="24"/>
          <w:szCs w:val="24"/>
        </w:rPr>
      </w:pPr>
      <w:r>
        <w:rPr>
          <w:rFonts w:hAnsi="Times New Roman" w:cs="Times New Roman"/>
          <w:color w:val="000000"/>
          <w:sz w:val="24"/>
          <w:szCs w:val="24"/>
        </w:rPr>
        <w:t>Путевой лист оформляется:</w:t>
      </w:r>
    </w:p>
    <w:p w14:paraId="7EAA0D6E">
      <w:pPr>
        <w:numPr>
          <w:ilvl w:val="0"/>
          <w:numId w:val="1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 один день – при коротких рейсах или перевозках в рамках одного дня;</w:t>
      </w:r>
    </w:p>
    <w:p w14:paraId="0C42BAAE">
      <w:pPr>
        <w:numPr>
          <w:ilvl w:val="0"/>
          <w:numId w:val="1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длительность рейса – для регулярных перевозок – если срок рейса превышает один день;</w:t>
      </w:r>
    </w:p>
    <w:p w14:paraId="741BDBB0">
      <w:pPr>
        <w:numPr>
          <w:ilvl w:val="0"/>
          <w:numId w:val="1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период – месяц или неделю – для нерегулярных перевозок независимо от продолжительности рейса.</w:t>
      </w:r>
    </w:p>
    <w:p w14:paraId="0111C04D">
      <w:pPr>
        <w:spacing w:line="240" w:lineRule="auto"/>
        <w:rPr>
          <w:rFonts w:hAnsi="Times New Roman" w:cs="Times New Roman"/>
          <w:color w:val="000000"/>
          <w:sz w:val="24"/>
          <w:szCs w:val="24"/>
        </w:rPr>
      </w:pPr>
      <w:r>
        <w:rPr>
          <w:rFonts w:hAnsi="Times New Roman" w:cs="Times New Roman"/>
          <w:color w:val="000000"/>
          <w:sz w:val="24"/>
          <w:szCs w:val="24"/>
        </w:rPr>
        <w:t>Также учреждение может оформить два путевых листа на один автомобиль, если в рейс отправляют двух водителей – по одному путевому листу на каждого водителя. Решение о количестве путевых листов и сроке их действия принимает главный механик.</w:t>
      </w:r>
    </w:p>
    <w:p w14:paraId="1044C407">
      <w:pPr>
        <w:spacing w:line="240" w:lineRule="auto"/>
        <w:rPr>
          <w:rFonts w:hAnsi="Times New Roman" w:cs="Times New Roman"/>
          <w:color w:val="000000"/>
          <w:sz w:val="24"/>
          <w:szCs w:val="24"/>
        </w:rPr>
      </w:pPr>
      <w:r>
        <w:rPr>
          <w:rFonts w:hAnsi="Times New Roman" w:cs="Times New Roman"/>
          <w:color w:val="000000"/>
          <w:sz w:val="24"/>
          <w:szCs w:val="24"/>
        </w:rPr>
        <w:t>Основание: пункт 9 приложения № 2 к СГС «Учетная политика, оценочные значения и ошибки».</w:t>
      </w:r>
    </w:p>
    <w:p w14:paraId="41EF5644">
      <w:pPr>
        <w:spacing w:line="240" w:lineRule="auto"/>
        <w:rPr>
          <w:rFonts w:hAnsi="Times New Roman" w:cs="Times New Roman"/>
          <w:color w:val="000000"/>
          <w:sz w:val="24"/>
          <w:szCs w:val="24"/>
        </w:rPr>
      </w:pPr>
      <w:r>
        <w:rPr>
          <w:rFonts w:hAnsi="Times New Roman" w:cs="Times New Roman"/>
          <w:color w:val="000000"/>
          <w:sz w:val="24"/>
          <w:szCs w:val="24"/>
        </w:rPr>
        <w:t>18.5. Квитанция о размене наличных денег подшивается к кассовой книге (ф. 0504514) и журналу регистрации приходных и расходных кассовых ордеров (ф. 0504093) как приложение, без внесения соответствующих записей в листы кассовой книги (ф. 0504514) и журнала регистрации приходных и расходных кассовых ордеров (ф. 0504093).</w:t>
      </w:r>
    </w:p>
    <w:p w14:paraId="00FC0526">
      <w:pPr>
        <w:spacing w:line="240" w:lineRule="auto"/>
        <w:rPr>
          <w:rFonts w:hAnsi="Times New Roman" w:cs="Times New Roman"/>
          <w:color w:val="000000"/>
          <w:sz w:val="24"/>
          <w:szCs w:val="24"/>
        </w:rPr>
      </w:pPr>
      <w:r>
        <w:rPr>
          <w:rFonts w:hAnsi="Times New Roman" w:cs="Times New Roman"/>
          <w:color w:val="000000"/>
          <w:sz w:val="24"/>
          <w:szCs w:val="24"/>
        </w:rPr>
        <w:t>19. Сотрудник, ответственный за оформление расчетных листков, высылает каждому сотруднику на его корпоративную электронную почту расчетный листок в день выдачи зарплаты за вторую половину месяца.</w:t>
      </w:r>
    </w:p>
    <w:p w14:paraId="60102870">
      <w:pPr>
        <w:spacing w:line="600" w:lineRule="atLeast"/>
        <w:rPr>
          <w:b/>
          <w:bCs/>
          <w:color w:val="252525"/>
          <w:spacing w:val="-2"/>
          <w:sz w:val="42"/>
          <w:szCs w:val="42"/>
        </w:rPr>
      </w:pPr>
      <w:r>
        <w:rPr>
          <w:b/>
          <w:bCs/>
          <w:color w:val="252525"/>
          <w:spacing w:val="-2"/>
          <w:sz w:val="24"/>
          <w:szCs w:val="24"/>
        </w:rPr>
        <w:t>V. Методы оценки объектов бухгалтерского учета, порядок их</w:t>
      </w:r>
      <w:r>
        <w:rPr>
          <w:rFonts w:hint="default"/>
          <w:b/>
          <w:bCs/>
          <w:color w:val="252525"/>
          <w:spacing w:val="-2"/>
          <w:sz w:val="24"/>
          <w:szCs w:val="24"/>
          <w:lang w:val="ru-RU"/>
        </w:rPr>
        <w:t xml:space="preserve"> </w:t>
      </w:r>
      <w:r>
        <w:rPr>
          <w:b/>
          <w:bCs/>
          <w:color w:val="252525"/>
          <w:spacing w:val="-2"/>
          <w:sz w:val="24"/>
          <w:szCs w:val="24"/>
        </w:rPr>
        <w:t>признания,прекращения признания и раскрытия информации</w:t>
      </w:r>
    </w:p>
    <w:p w14:paraId="5C4E0B57">
      <w:pPr>
        <w:spacing w:line="240" w:lineRule="auto"/>
        <w:rPr>
          <w:rFonts w:hAnsi="Times New Roman" w:cs="Times New Roman"/>
          <w:color w:val="000000"/>
          <w:sz w:val="24"/>
          <w:szCs w:val="24"/>
        </w:rPr>
      </w:pPr>
      <w:r>
        <w:rPr>
          <w:rFonts w:hAnsi="Times New Roman" w:cs="Times New Roman"/>
          <w:b/>
          <w:bCs/>
          <w:color w:val="000000"/>
          <w:sz w:val="24"/>
          <w:szCs w:val="24"/>
        </w:rPr>
        <w:t>1. Общие положения</w:t>
      </w:r>
    </w:p>
    <w:p w14:paraId="4407E1A0">
      <w:pPr>
        <w:spacing w:line="240" w:lineRule="auto"/>
        <w:rPr>
          <w:rFonts w:hAnsi="Times New Roman" w:cs="Times New Roman"/>
          <w:color w:val="000000"/>
          <w:sz w:val="24"/>
          <w:szCs w:val="24"/>
        </w:rPr>
      </w:pPr>
      <w:r>
        <w:rPr>
          <w:rFonts w:hAnsi="Times New Roman" w:cs="Times New Roman"/>
          <w:color w:val="000000"/>
          <w:sz w:val="24"/>
          <w:szCs w:val="24"/>
        </w:rPr>
        <w:t>1.1.  Для случаев, которые не установлены в федеральных стандартах и учетной политике, метод определения справедливой стоимости выбирает комиссия учреждения по поступлению и выбытию активов.</w:t>
      </w:r>
      <w:r>
        <w:br w:type="textWrapping"/>
      </w:r>
      <w:r>
        <w:rPr>
          <w:rFonts w:hAnsi="Times New Roman" w:cs="Times New Roman"/>
          <w:color w:val="000000"/>
          <w:sz w:val="24"/>
          <w:szCs w:val="24"/>
        </w:rPr>
        <w:t>Основание: пункт 54 СГС «Концептуальные основы бухучета и отчетности».</w:t>
      </w:r>
    </w:p>
    <w:p w14:paraId="66053861">
      <w:pPr>
        <w:spacing w:line="240" w:lineRule="auto"/>
        <w:rPr>
          <w:rFonts w:hAnsi="Times New Roman" w:cs="Times New Roman"/>
          <w:color w:val="000000"/>
          <w:sz w:val="24"/>
          <w:szCs w:val="24"/>
        </w:rPr>
      </w:pPr>
      <w:r>
        <w:rPr>
          <w:rFonts w:hAnsi="Times New Roman" w:cs="Times New Roman"/>
          <w:color w:val="000000"/>
          <w:sz w:val="24"/>
          <w:szCs w:val="24"/>
        </w:rPr>
        <w:t>1.2.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 главного бухгалтера.</w:t>
      </w:r>
      <w:r>
        <w:br w:type="textWrapping"/>
      </w:r>
      <w:r>
        <w:rPr>
          <w:rFonts w:hAnsi="Times New Roman" w:cs="Times New Roman"/>
          <w:color w:val="000000"/>
          <w:sz w:val="24"/>
          <w:szCs w:val="24"/>
        </w:rPr>
        <w:t>Основание: пункт 6 СГС «Учетная политика, оценочные значения и ошибки».</w:t>
      </w:r>
    </w:p>
    <w:p w14:paraId="294FDD91">
      <w:pPr>
        <w:spacing w:line="240" w:lineRule="auto"/>
        <w:rPr>
          <w:rFonts w:hAnsi="Times New Roman" w:cs="Times New Roman"/>
          <w:color w:val="000000"/>
          <w:sz w:val="24"/>
          <w:szCs w:val="24"/>
        </w:rPr>
      </w:pPr>
      <w:r>
        <w:rPr>
          <w:rFonts w:hAnsi="Times New Roman" w:cs="Times New Roman"/>
          <w:color w:val="000000"/>
          <w:sz w:val="24"/>
          <w:szCs w:val="24"/>
        </w:rPr>
        <w:t>1.3 Амортизация на нефинансовые активы начисляется в последний день месяца. Исключение – амортизация на права пользования, она начисляется в соответствии с пунктом 2.17 раздела V учетной политики.</w:t>
      </w:r>
      <w:r>
        <w:br w:type="textWrapping"/>
      </w:r>
      <w:r>
        <w:rPr>
          <w:rFonts w:hAnsi="Times New Roman" w:cs="Times New Roman"/>
          <w:color w:val="000000"/>
          <w:sz w:val="24"/>
          <w:szCs w:val="24"/>
        </w:rPr>
        <w:t>Основание: пункт 33 СГС «Основные средства», пункт 28 СГС «Нематериальные активы».</w:t>
      </w:r>
    </w:p>
    <w:p w14:paraId="746E3FE8">
      <w:pPr>
        <w:spacing w:line="240" w:lineRule="auto"/>
        <w:rPr>
          <w:rFonts w:hAnsi="Times New Roman" w:cs="Times New Roman"/>
          <w:color w:val="000000"/>
          <w:sz w:val="24"/>
          <w:szCs w:val="24"/>
        </w:rPr>
      </w:pPr>
      <w:r>
        <w:rPr>
          <w:rFonts w:hAnsi="Times New Roman" w:cs="Times New Roman"/>
          <w:b/>
          <w:bCs/>
          <w:color w:val="000000"/>
          <w:sz w:val="24"/>
          <w:szCs w:val="24"/>
        </w:rPr>
        <w:t>2. Основные средства</w:t>
      </w:r>
    </w:p>
    <w:p w14:paraId="43151516">
      <w:pPr>
        <w:spacing w:line="240" w:lineRule="auto"/>
        <w:rPr>
          <w:rFonts w:hAnsi="Times New Roman" w:cs="Times New Roman"/>
          <w:color w:val="000000"/>
          <w:sz w:val="24"/>
          <w:szCs w:val="24"/>
        </w:rPr>
      </w:pPr>
      <w:r>
        <w:rPr>
          <w:rFonts w:hAnsi="Times New Roman" w:cs="Times New Roman"/>
          <w:color w:val="000000"/>
          <w:sz w:val="24"/>
          <w:szCs w:val="24"/>
        </w:rPr>
        <w:t>2.1. Учреждение учитывает в составе инвентаря на счете 101.06 «Инвентарь производственный и хозяйственный», в том числе объекты имущества, перечень которых приведен в приложении 12.</w:t>
      </w:r>
    </w:p>
    <w:p w14:paraId="68B003B2">
      <w:pPr>
        <w:spacing w:line="240" w:lineRule="auto"/>
        <w:rPr>
          <w:rFonts w:hAnsi="Times New Roman" w:cs="Times New Roman"/>
          <w:color w:val="000000"/>
          <w:sz w:val="24"/>
          <w:szCs w:val="24"/>
        </w:rPr>
      </w:pPr>
      <w:r>
        <w:rPr>
          <w:rFonts w:hAnsi="Times New Roman" w:cs="Times New Roman"/>
          <w:color w:val="000000"/>
          <w:sz w:val="24"/>
          <w:szCs w:val="24"/>
        </w:rPr>
        <w:t>2.2.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14:paraId="2DB3938A">
      <w:pPr>
        <w:numPr>
          <w:ilvl w:val="0"/>
          <w:numId w:val="1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объекты библиотечного фонда;</w:t>
      </w:r>
    </w:p>
    <w:p w14:paraId="28DA3288">
      <w:pPr>
        <w:numPr>
          <w:ilvl w:val="0"/>
          <w:numId w:val="1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мебель для обстановки одного помещения: столы, стулья, стеллажи, шкафы, полки;</w:t>
      </w:r>
    </w:p>
    <w:p w14:paraId="3DFCD38D">
      <w:pPr>
        <w:numPr>
          <w:ilvl w:val="0"/>
          <w:numId w:val="1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компьютерное и периферийное оборудование: системные блоки, мониторы, компьютерные мыши, клавиатуры, принтеры, сканеры, колонки, акустические системы, микрофоны, веб-камеры, устройства захвата видео, внешние ТВ-тюнеры, внешние накопители на жестких дисках;</w:t>
      </w:r>
    </w:p>
    <w:p w14:paraId="606006C9">
      <w:pPr>
        <w:spacing w:line="240" w:lineRule="auto"/>
        <w:rPr>
          <w:rFonts w:hAnsi="Times New Roman" w:cs="Times New Roman"/>
          <w:color w:val="000000"/>
          <w:sz w:val="24"/>
          <w:szCs w:val="24"/>
        </w:rPr>
      </w:pPr>
      <w:r>
        <w:rPr>
          <w:rFonts w:hAnsi="Times New Roman" w:cs="Times New Roman"/>
          <w:color w:val="000000"/>
          <w:sz w:val="24"/>
          <w:szCs w:val="24"/>
        </w:rPr>
        <w:t>Не считается существенной стоимость до 20 000 руб. за один имущественный объект.</w:t>
      </w:r>
    </w:p>
    <w:p w14:paraId="52219DDE">
      <w:pPr>
        <w:spacing w:line="240" w:lineRule="auto"/>
        <w:rPr>
          <w:rFonts w:hAnsi="Times New Roman" w:cs="Times New Roman"/>
          <w:color w:val="000000"/>
          <w:sz w:val="24"/>
          <w:szCs w:val="24"/>
        </w:rPr>
      </w:pPr>
      <w:r>
        <w:rPr>
          <w:rFonts w:hAnsi="Times New Roman" w:cs="Times New Roman"/>
          <w:color w:val="000000"/>
          <w:sz w:val="24"/>
          <w:szCs w:val="24"/>
        </w:rPr>
        <w:t>Необходимость объединения и конкретный перечень объединяемых объектов определяет комиссия учреждения по поступлению и выбытию активов.</w:t>
      </w:r>
    </w:p>
    <w:p w14:paraId="27A8F157">
      <w:pPr>
        <w:spacing w:line="240" w:lineRule="auto"/>
        <w:rPr>
          <w:rFonts w:hAnsi="Times New Roman" w:cs="Times New Roman"/>
          <w:color w:val="000000"/>
          <w:sz w:val="24"/>
          <w:szCs w:val="24"/>
        </w:rPr>
      </w:pPr>
      <w:r>
        <w:rPr>
          <w:rFonts w:hAnsi="Times New Roman" w:cs="Times New Roman"/>
          <w:color w:val="000000"/>
          <w:sz w:val="24"/>
          <w:szCs w:val="24"/>
        </w:rPr>
        <w:t>Основание: пункт 10 СГС «Основные средства».</w:t>
      </w:r>
    </w:p>
    <w:p w14:paraId="10D79708">
      <w:pPr>
        <w:spacing w:line="240" w:lineRule="auto"/>
        <w:rPr>
          <w:rFonts w:hAnsi="Times New Roman" w:cs="Times New Roman"/>
          <w:color w:val="000000"/>
          <w:sz w:val="24"/>
          <w:szCs w:val="24"/>
        </w:rPr>
      </w:pPr>
      <w:r>
        <w:rPr>
          <w:rFonts w:hAnsi="Times New Roman" w:cs="Times New Roman"/>
          <w:color w:val="000000"/>
          <w:sz w:val="24"/>
          <w:szCs w:val="24"/>
        </w:rPr>
        <w:t>2.3. Уникальный инвентарный номер состоит из десяти знаков и присваивается в порядке:</w:t>
      </w:r>
    </w:p>
    <w:p w14:paraId="15EEF6DF">
      <w:pPr>
        <w:numPr>
          <w:ilvl w:val="0"/>
          <w:numId w:val="1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1-й разряд – амортизационная группа, к которой отнесен объект при принятии к учету (при отнесении инвентарного объекта к 10-й амортизационной группе в данном разряде проставляется «0»);</w:t>
      </w:r>
    </w:p>
    <w:p w14:paraId="5D1925F9">
      <w:pPr>
        <w:numPr>
          <w:ilvl w:val="0"/>
          <w:numId w:val="1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2–4-е разряды – код объекта учета синтетического счета в Плане счетов бюджетного учета;</w:t>
      </w:r>
    </w:p>
    <w:p w14:paraId="36375514">
      <w:pPr>
        <w:numPr>
          <w:ilvl w:val="0"/>
          <w:numId w:val="1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5–6-е разряды – код группы и вида синтетического счета Плана счетов бюджетного учета;</w:t>
      </w:r>
    </w:p>
    <w:p w14:paraId="23897A2F">
      <w:pPr>
        <w:numPr>
          <w:ilvl w:val="0"/>
          <w:numId w:val="16"/>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7–10-е разряды – порядковый номер нефинансового актива.</w:t>
      </w:r>
    </w:p>
    <w:p w14:paraId="5F1C29C0">
      <w:pPr>
        <w:spacing w:line="240" w:lineRule="auto"/>
        <w:rPr>
          <w:rFonts w:hAnsi="Times New Roman" w:cs="Times New Roman"/>
          <w:color w:val="000000"/>
          <w:sz w:val="24"/>
          <w:szCs w:val="24"/>
        </w:rPr>
      </w:pPr>
      <w:r>
        <w:rPr>
          <w:rFonts w:hAnsi="Times New Roman" w:cs="Times New Roman"/>
          <w:color w:val="000000"/>
          <w:sz w:val="24"/>
          <w:szCs w:val="24"/>
        </w:rPr>
        <w:t>Основание: пункт 9 СГС «Основные средства».</w:t>
      </w:r>
    </w:p>
    <w:p w14:paraId="52105181">
      <w:pPr>
        <w:spacing w:line="240" w:lineRule="auto"/>
        <w:rPr>
          <w:rFonts w:hAnsi="Times New Roman" w:cs="Times New Roman"/>
          <w:color w:val="000000"/>
          <w:sz w:val="24"/>
          <w:szCs w:val="24"/>
        </w:rPr>
      </w:pPr>
      <w:r>
        <w:rPr>
          <w:rFonts w:hAnsi="Times New Roman" w:cs="Times New Roman"/>
          <w:color w:val="000000"/>
          <w:sz w:val="24"/>
          <w:szCs w:val="24"/>
        </w:rPr>
        <w:t>2.4. Каждому инвентарному объекту недвижимого имущества, а также инвентарному объекту движимого имущества, кроме объектов стоимостью до 10 000 руб. включительно и объектов библиотечного фонда независимо от их стоимости, присваивается уникальный инвентарный порядковый номер (далее - инвентарный номер) независимо от того, находится ли он в эксплуатации, запасе или на консервации.</w:t>
      </w:r>
    </w:p>
    <w:p w14:paraId="5AAE3303">
      <w:pPr>
        <w:spacing w:line="240" w:lineRule="auto"/>
        <w:rPr>
          <w:rFonts w:hAnsi="Times New Roman" w:cs="Times New Roman"/>
          <w:color w:val="000000"/>
          <w:sz w:val="24"/>
          <w:szCs w:val="24"/>
        </w:rPr>
      </w:pPr>
      <w:r>
        <w:rPr>
          <w:rFonts w:hAnsi="Times New Roman" w:cs="Times New Roman"/>
          <w:color w:val="000000"/>
          <w:sz w:val="24"/>
          <w:szCs w:val="24"/>
        </w:rPr>
        <w:t>Каждому объекту основных средств, входящему в комплекс объектов основных средств, признаваемый для целей бухгалтерского учета единым инвентарным объектом (далее - инвентарная группа), присваивается внутренний порядковый инвентарный номер инвентарной группы, формируемый как совокупность инвентарного номера инвентарной группы и порядкового номера объекта, входящего в комплекс.</w:t>
      </w:r>
    </w:p>
    <w:p w14:paraId="5FE1E311">
      <w:pPr>
        <w:spacing w:line="240" w:lineRule="auto"/>
        <w:rPr>
          <w:rFonts w:hAnsi="Times New Roman" w:cs="Times New Roman"/>
          <w:color w:val="000000"/>
          <w:sz w:val="24"/>
          <w:szCs w:val="24"/>
        </w:rPr>
      </w:pPr>
      <w:r>
        <w:rPr>
          <w:rFonts w:hAnsi="Times New Roman" w:cs="Times New Roman"/>
          <w:color w:val="000000"/>
          <w:sz w:val="24"/>
          <w:szCs w:val="24"/>
        </w:rPr>
        <w:t>Объектам основных средств, имеющим уникальный номер однозначно его идентифицирующий в качестве индивидуально-определенной вещи (например, кадастровый номер, государственный (регистрационный) опознавательный знак (номер) транспортного средства, серийный номер единицы изготовленного оружия), присваивается инвентарный номер без нанесения его на объект.</w:t>
      </w:r>
    </w:p>
    <w:p w14:paraId="5AB17B4D">
      <w:pPr>
        <w:spacing w:line="240" w:lineRule="auto"/>
        <w:rPr>
          <w:rFonts w:hAnsi="Times New Roman" w:cs="Times New Roman"/>
          <w:color w:val="000000"/>
          <w:sz w:val="24"/>
          <w:szCs w:val="24"/>
        </w:rPr>
      </w:pPr>
      <w:r>
        <w:rPr>
          <w:rFonts w:hAnsi="Times New Roman" w:cs="Times New Roman"/>
          <w:color w:val="000000"/>
          <w:sz w:val="24"/>
          <w:szCs w:val="24"/>
        </w:rPr>
        <w:t>Инвентарный номер, присвоенный объекту основных средств, сохраняется за ним на весь период его нахождения в учреждении. В случае принятия на учет объекта основного средства, входящего в инвентарную группу, ввиду разукомплектования последней, такому объекту основного средства присваивается новый инвентарный номер.</w:t>
      </w:r>
    </w:p>
    <w:p w14:paraId="34DF094B">
      <w:pPr>
        <w:spacing w:line="240" w:lineRule="auto"/>
        <w:rPr>
          <w:rFonts w:hAnsi="Times New Roman" w:cs="Times New Roman"/>
          <w:color w:val="000000"/>
          <w:sz w:val="24"/>
          <w:szCs w:val="24"/>
        </w:rPr>
      </w:pPr>
      <w:r>
        <w:rPr>
          <w:rFonts w:hAnsi="Times New Roman" w:cs="Times New Roman"/>
          <w:color w:val="000000"/>
          <w:sz w:val="24"/>
          <w:szCs w:val="24"/>
        </w:rPr>
        <w:t>Инвентарные номера выбывших с балансового учета инвентарных объектов основных средств вновь принятым к учету объектам не присваиваются.</w:t>
      </w:r>
    </w:p>
    <w:p w14:paraId="2A2FEBD5">
      <w:pPr>
        <w:spacing w:line="240" w:lineRule="auto"/>
        <w:rPr>
          <w:rFonts w:hAnsi="Times New Roman" w:cs="Times New Roman"/>
          <w:color w:val="000000"/>
          <w:sz w:val="24"/>
          <w:szCs w:val="24"/>
        </w:rPr>
      </w:pPr>
      <w:r>
        <w:rPr>
          <w:rFonts w:hAnsi="Times New Roman" w:cs="Times New Roman"/>
          <w:color w:val="000000"/>
          <w:sz w:val="24"/>
          <w:szCs w:val="24"/>
        </w:rPr>
        <w:t>Присвоенный объекту инвентарный номер обозначается лицом, ответственным за сохранность объекта имущества и (или) использование его по назначению (далее - ответственное лицо), в присутствии уполномоченного члена комиссии по поступлению и выбытию активов путем нанесения номера на инвентарный объект краской или водостойким маркером или иным способом, обеспечивающим сохранность маркировки. 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 же способом, что и на сложном объекте.</w:t>
      </w:r>
    </w:p>
    <w:p w14:paraId="640358DA">
      <w:pPr>
        <w:spacing w:line="240" w:lineRule="auto"/>
        <w:rPr>
          <w:rFonts w:hAnsi="Times New Roman" w:cs="Times New Roman"/>
          <w:color w:val="000000"/>
          <w:sz w:val="24"/>
          <w:szCs w:val="24"/>
        </w:rPr>
      </w:pPr>
      <w:r>
        <w:rPr>
          <w:rFonts w:hAnsi="Times New Roman" w:cs="Times New Roman"/>
          <w:color w:val="000000"/>
          <w:sz w:val="24"/>
          <w:szCs w:val="24"/>
        </w:rPr>
        <w:t>При невозможности обозначения инвентарного номера на объекте основных средств в случаях, определенных требованиями его эксплуатации, присвоенный ему инвентарный номер применяется в целях бухгалтерского учета с отражением в соответствующих регистрах бухгалтерского учета без нанесения на объект основного средства.</w:t>
      </w:r>
    </w:p>
    <w:p w14:paraId="4531C7B1">
      <w:pPr>
        <w:spacing w:line="240" w:lineRule="auto"/>
        <w:rPr>
          <w:rFonts w:hAnsi="Times New Roman" w:cs="Times New Roman"/>
          <w:color w:val="000000"/>
          <w:sz w:val="24"/>
          <w:szCs w:val="24"/>
        </w:rPr>
      </w:pPr>
      <w:r>
        <w:rPr>
          <w:rFonts w:hAnsi="Times New Roman" w:cs="Times New Roman"/>
          <w:color w:val="000000"/>
          <w:sz w:val="24"/>
          <w:szCs w:val="24"/>
        </w:rPr>
        <w:t>Инвентарный номер объектов основных средств при реклассификации объектов не изменяется (в том числе при условии изменения группы учета нефинансовых активов (в том числе при условии принятия на балансовый учет объектов, учитываемых на забалансовых счетах).</w:t>
      </w:r>
    </w:p>
    <w:p w14:paraId="386DFD18">
      <w:pPr>
        <w:spacing w:line="240" w:lineRule="auto"/>
        <w:rPr>
          <w:rFonts w:hAnsi="Times New Roman" w:cs="Times New Roman"/>
          <w:color w:val="000000"/>
          <w:sz w:val="24"/>
          <w:szCs w:val="24"/>
        </w:rPr>
      </w:pPr>
      <w:r>
        <w:rPr>
          <w:rFonts w:hAnsi="Times New Roman" w:cs="Times New Roman"/>
          <w:color w:val="000000"/>
          <w:sz w:val="24"/>
          <w:szCs w:val="24"/>
        </w:rPr>
        <w:t>2.5. Затраты по замене отдельных составных частей комплекса 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(выбываемых) составных частей. Данное правило применяется к следующим группам основных средств:</w:t>
      </w:r>
    </w:p>
    <w:p w14:paraId="129F2CE9">
      <w:pPr>
        <w:numPr>
          <w:ilvl w:val="0"/>
          <w:numId w:val="1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машины и оборудование;</w:t>
      </w:r>
    </w:p>
    <w:p w14:paraId="630E9649">
      <w:pPr>
        <w:numPr>
          <w:ilvl w:val="0"/>
          <w:numId w:val="1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транспортные средства;</w:t>
      </w:r>
    </w:p>
    <w:p w14:paraId="59FC2879">
      <w:pPr>
        <w:numPr>
          <w:ilvl w:val="0"/>
          <w:numId w:val="1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инвентарь производственный и хозяйственный;</w:t>
      </w:r>
    </w:p>
    <w:p w14:paraId="4C64781C">
      <w:pPr>
        <w:numPr>
          <w:ilvl w:val="0"/>
          <w:numId w:val="1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многолетние насаждения;</w:t>
      </w:r>
    </w:p>
    <w:p w14:paraId="0ED2AD16">
      <w:pPr>
        <w:spacing w:line="240" w:lineRule="auto"/>
        <w:rPr>
          <w:rFonts w:hAnsi="Times New Roman" w:cs="Times New Roman"/>
          <w:color w:val="000000"/>
          <w:sz w:val="24"/>
          <w:szCs w:val="24"/>
        </w:rPr>
      </w:pPr>
      <w:r>
        <w:rPr>
          <w:rFonts w:hAnsi="Times New Roman" w:cs="Times New Roman"/>
          <w:color w:val="000000"/>
          <w:sz w:val="24"/>
          <w:szCs w:val="24"/>
        </w:rPr>
        <w:t>Основание: пункт 27 СГС «Основные средства».</w:t>
      </w:r>
    </w:p>
    <w:p w14:paraId="4BB55E1A">
      <w:pPr>
        <w:spacing w:line="240" w:lineRule="auto"/>
        <w:rPr>
          <w:rFonts w:hAnsi="Times New Roman" w:cs="Times New Roman"/>
          <w:color w:val="000000"/>
          <w:sz w:val="24"/>
          <w:szCs w:val="24"/>
        </w:rPr>
      </w:pPr>
      <w:r>
        <w:rPr>
          <w:rFonts w:hAnsi="Times New Roman" w:cs="Times New Roman"/>
          <w:color w:val="000000"/>
          <w:sz w:val="24"/>
          <w:szCs w:val="24"/>
        </w:rPr>
        <w:t>2.6. В случае частичной ликвидации или разукомплектации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14:paraId="49E557CF">
      <w:pPr>
        <w:numPr>
          <w:ilvl w:val="0"/>
          <w:numId w:val="1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площади;</w:t>
      </w:r>
    </w:p>
    <w:p w14:paraId="1AABCAC2">
      <w:pPr>
        <w:numPr>
          <w:ilvl w:val="0"/>
          <w:numId w:val="1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объему;</w:t>
      </w:r>
    </w:p>
    <w:p w14:paraId="7780D0B1">
      <w:pPr>
        <w:numPr>
          <w:ilvl w:val="0"/>
          <w:numId w:val="1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весу;</w:t>
      </w:r>
    </w:p>
    <w:p w14:paraId="1F487C65">
      <w:pPr>
        <w:numPr>
          <w:ilvl w:val="0"/>
          <w:numId w:val="18"/>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иному показателю, установленному комиссией по поступлению и выбытию активов.</w:t>
      </w:r>
    </w:p>
    <w:p w14:paraId="77D430DB">
      <w:pPr>
        <w:spacing w:line="240" w:lineRule="auto"/>
        <w:rPr>
          <w:rFonts w:hAnsi="Times New Roman" w:cs="Times New Roman"/>
          <w:color w:val="000000"/>
          <w:sz w:val="24"/>
          <w:szCs w:val="24"/>
        </w:rPr>
      </w:pPr>
      <w:r>
        <w:rPr>
          <w:rFonts w:hAnsi="Times New Roman" w:cs="Times New Roman"/>
          <w:color w:val="000000"/>
          <w:sz w:val="24"/>
          <w:szCs w:val="24"/>
        </w:rPr>
        <w:t>2.7.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дооборудований,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 сумма затрат на проведение аналогичного мероприятия списывается в расходы текущего периода с учетом накопленной амортизации. Данное правило применяется к следующим группам основных средств:</w:t>
      </w:r>
    </w:p>
    <w:p w14:paraId="39383A0A">
      <w:pPr>
        <w:numPr>
          <w:ilvl w:val="0"/>
          <w:numId w:val="1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машины и оборудование;</w:t>
      </w:r>
    </w:p>
    <w:p w14:paraId="6AA68890">
      <w:pPr>
        <w:numPr>
          <w:ilvl w:val="0"/>
          <w:numId w:val="1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транспортные средства;</w:t>
      </w:r>
    </w:p>
    <w:p w14:paraId="1133126E">
      <w:pPr>
        <w:spacing w:line="240" w:lineRule="auto"/>
        <w:rPr>
          <w:rFonts w:hAnsi="Times New Roman" w:cs="Times New Roman"/>
          <w:color w:val="000000"/>
          <w:sz w:val="24"/>
          <w:szCs w:val="24"/>
        </w:rPr>
      </w:pPr>
      <w:r>
        <w:rPr>
          <w:rFonts w:hAnsi="Times New Roman" w:cs="Times New Roman"/>
          <w:color w:val="000000"/>
          <w:sz w:val="24"/>
          <w:szCs w:val="24"/>
        </w:rPr>
        <w:t>Основание: пункт 28 СГС «Основные средства».</w:t>
      </w:r>
    </w:p>
    <w:p w14:paraId="5614EB25">
      <w:pPr>
        <w:spacing w:line="240" w:lineRule="auto"/>
        <w:rPr>
          <w:rFonts w:hAnsi="Times New Roman" w:cs="Times New Roman"/>
          <w:color w:val="000000"/>
          <w:sz w:val="24"/>
          <w:szCs w:val="24"/>
        </w:rPr>
      </w:pPr>
      <w:r>
        <w:rPr>
          <w:rFonts w:hAnsi="Times New Roman" w:cs="Times New Roman"/>
          <w:color w:val="000000"/>
          <w:sz w:val="24"/>
          <w:szCs w:val="24"/>
        </w:rPr>
        <w:t>2.8. Начисление амортизации осуществляется следующим образом:</w:t>
      </w:r>
    </w:p>
    <w:p w14:paraId="77656838">
      <w:pPr>
        <w:numPr>
          <w:ilvl w:val="0"/>
          <w:numId w:val="2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методом уменьшаемого остатка с применением коэффициента 2 – на основные средства группы «Транспортные средства», а также на компьютерное оборудование и сотовые телефоны;</w:t>
      </w:r>
    </w:p>
    <w:p w14:paraId="0A9B0458">
      <w:pPr>
        <w:numPr>
          <w:ilvl w:val="0"/>
          <w:numId w:val="20"/>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линейным методом – на остальные объекты основных средств.</w:t>
      </w:r>
    </w:p>
    <w:p w14:paraId="2C5C7BF2">
      <w:pPr>
        <w:spacing w:line="240" w:lineRule="auto"/>
        <w:rPr>
          <w:rFonts w:hAnsi="Times New Roman" w:cs="Times New Roman"/>
          <w:color w:val="000000"/>
          <w:sz w:val="24"/>
          <w:szCs w:val="24"/>
        </w:rPr>
      </w:pPr>
      <w:r>
        <w:rPr>
          <w:rFonts w:hAnsi="Times New Roman" w:cs="Times New Roman"/>
          <w:color w:val="000000"/>
          <w:sz w:val="24"/>
          <w:szCs w:val="24"/>
        </w:rPr>
        <w:t>Основание: пункты 36, 37 СГС «Основные средства».</w:t>
      </w:r>
    </w:p>
    <w:p w14:paraId="64D3F0FB">
      <w:pPr>
        <w:spacing w:line="240" w:lineRule="auto"/>
        <w:rPr>
          <w:rFonts w:hAnsi="Times New Roman" w:cs="Times New Roman"/>
          <w:color w:val="000000"/>
          <w:sz w:val="24"/>
          <w:szCs w:val="24"/>
        </w:rPr>
      </w:pPr>
      <w:r>
        <w:rPr>
          <w:rFonts w:hAnsi="Times New Roman" w:cs="Times New Roman"/>
          <w:color w:val="000000"/>
          <w:sz w:val="24"/>
          <w:szCs w:val="24"/>
        </w:rPr>
        <w:t>2.9.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14:paraId="1DF8CE7F">
      <w:pPr>
        <w:spacing w:line="240" w:lineRule="auto"/>
        <w:rPr>
          <w:rFonts w:hAnsi="Times New Roman" w:cs="Times New Roman"/>
          <w:color w:val="000000"/>
          <w:sz w:val="24"/>
          <w:szCs w:val="24"/>
        </w:rPr>
      </w:pPr>
      <w:r>
        <w:rPr>
          <w:rFonts w:hAnsi="Times New Roman" w:cs="Times New Roman"/>
          <w:color w:val="000000"/>
          <w:sz w:val="24"/>
          <w:szCs w:val="24"/>
        </w:rPr>
        <w:t>Основание: пункт 40 СГС «Основные средства».</w:t>
      </w:r>
    </w:p>
    <w:p w14:paraId="0E5C3135">
      <w:pPr>
        <w:spacing w:line="240" w:lineRule="auto"/>
        <w:rPr>
          <w:rFonts w:hAnsi="Times New Roman" w:cs="Times New Roman"/>
          <w:color w:val="000000"/>
          <w:sz w:val="24"/>
          <w:szCs w:val="24"/>
        </w:rPr>
      </w:pPr>
      <w:r>
        <w:rPr>
          <w:rFonts w:hAnsi="Times New Roman" w:cs="Times New Roman"/>
          <w:color w:val="000000"/>
          <w:sz w:val="24"/>
          <w:szCs w:val="24"/>
        </w:rPr>
        <w:t>2.10.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14:paraId="1C4F18F8">
      <w:pPr>
        <w:spacing w:line="240" w:lineRule="auto"/>
        <w:rPr>
          <w:rFonts w:hAnsi="Times New Roman" w:cs="Times New Roman"/>
          <w:color w:val="000000"/>
          <w:sz w:val="24"/>
          <w:szCs w:val="24"/>
        </w:rPr>
      </w:pPr>
      <w:r>
        <w:rPr>
          <w:rFonts w:hAnsi="Times New Roman" w:cs="Times New Roman"/>
          <w:color w:val="000000"/>
          <w:sz w:val="24"/>
          <w:szCs w:val="24"/>
        </w:rPr>
        <w:t>Основание: пункт 41 СГС «Основные средства».</w:t>
      </w:r>
    </w:p>
    <w:p w14:paraId="1A4861B0">
      <w:pPr>
        <w:spacing w:line="240" w:lineRule="auto"/>
        <w:rPr>
          <w:rFonts w:hAnsi="Times New Roman" w:cs="Times New Roman"/>
          <w:color w:val="000000"/>
          <w:sz w:val="24"/>
          <w:szCs w:val="24"/>
        </w:rPr>
      </w:pPr>
      <w:r>
        <w:rPr>
          <w:rFonts w:hAnsi="Times New Roman" w:cs="Times New Roman"/>
          <w:color w:val="000000"/>
          <w:sz w:val="24"/>
          <w:szCs w:val="24"/>
        </w:rPr>
        <w:t>2.11. Срок полезного использования объектов основных средств устанавливает комиссия по поступлению и выбытию активов, исходя из предполагаемого срока получения экономических выгод и (или) полезного потенциала в соответствии с пунктом 35 СГС «Основные средства».</w:t>
      </w:r>
    </w:p>
    <w:p w14:paraId="7353C4FD">
      <w:pPr>
        <w:spacing w:line="240" w:lineRule="auto"/>
        <w:rPr>
          <w:rFonts w:hAnsi="Times New Roman" w:cs="Times New Roman"/>
          <w:color w:val="000000"/>
          <w:sz w:val="24"/>
          <w:szCs w:val="24"/>
        </w:rPr>
      </w:pPr>
      <w:r>
        <w:rPr>
          <w:rFonts w:hAnsi="Times New Roman" w:cs="Times New Roman"/>
          <w:color w:val="000000"/>
          <w:sz w:val="24"/>
          <w:szCs w:val="24"/>
        </w:rPr>
        <w:t>2.12. Основные средства стоимостью до 10 000 руб. включительно, находящиеся в эксплуатации, учитываются на забалансовом счете 21 по балансовой стоимости.</w:t>
      </w:r>
    </w:p>
    <w:p w14:paraId="167E7C1B">
      <w:pPr>
        <w:spacing w:line="240" w:lineRule="auto"/>
        <w:rPr>
          <w:rFonts w:hAnsi="Times New Roman" w:cs="Times New Roman"/>
          <w:color w:val="000000"/>
          <w:sz w:val="24"/>
          <w:szCs w:val="24"/>
        </w:rPr>
      </w:pPr>
      <w:r>
        <w:rPr>
          <w:rFonts w:hAnsi="Times New Roman" w:cs="Times New Roman"/>
          <w:color w:val="000000"/>
          <w:sz w:val="24"/>
          <w:szCs w:val="24"/>
        </w:rPr>
        <w:t>Основание: пункт 39 СГС «Основные средства».</w:t>
      </w:r>
    </w:p>
    <w:p w14:paraId="7D3CF181">
      <w:pPr>
        <w:spacing w:line="240" w:lineRule="auto"/>
        <w:rPr>
          <w:rFonts w:hAnsi="Times New Roman" w:cs="Times New Roman"/>
          <w:color w:val="000000"/>
          <w:sz w:val="24"/>
          <w:szCs w:val="24"/>
        </w:rPr>
      </w:pPr>
      <w:r>
        <w:rPr>
          <w:rFonts w:hAnsi="Times New Roman" w:cs="Times New Roman"/>
          <w:color w:val="000000"/>
          <w:sz w:val="24"/>
          <w:szCs w:val="24"/>
        </w:rPr>
        <w:t>2.13. Локально-вычислительная сеть (ЛВС), охранно-пожарная сигнализация (ОПС) и другие сети как отдельные инвентарные объекты не учитываются. Отдельные элементы ЛВС, ОПС и других сетей, которые соответствуют критериям основных средств, установленным СГС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2.2 раздела V настоящей Учетной политики.</w:t>
      </w:r>
    </w:p>
    <w:p w14:paraId="49618529">
      <w:pPr>
        <w:spacing w:line="240" w:lineRule="auto"/>
        <w:rPr>
          <w:rFonts w:hAnsi="Times New Roman" w:cs="Times New Roman"/>
          <w:color w:val="000000"/>
          <w:sz w:val="24"/>
          <w:szCs w:val="24"/>
        </w:rPr>
      </w:pPr>
      <w:r>
        <w:rPr>
          <w:rFonts w:hAnsi="Times New Roman" w:cs="Times New Roman"/>
          <w:color w:val="000000"/>
          <w:sz w:val="24"/>
          <w:szCs w:val="24"/>
        </w:rPr>
        <w:t>2.14.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14:paraId="085C0D54">
      <w:pPr>
        <w:spacing w:line="240" w:lineRule="auto"/>
        <w:rPr>
          <w:rFonts w:hAnsi="Times New Roman" w:cs="Times New Roman"/>
          <w:color w:val="000000"/>
          <w:sz w:val="24"/>
          <w:szCs w:val="24"/>
        </w:rPr>
      </w:pPr>
      <w:r>
        <w:rPr>
          <w:rFonts w:hAnsi="Times New Roman" w:cs="Times New Roman"/>
          <w:color w:val="000000"/>
          <w:sz w:val="24"/>
          <w:szCs w:val="24"/>
        </w:rPr>
        <w:t>2.15. Ответственными за хранение технической документации на объекты основных средств являются ответственные лица, за которыми закреплены объекты. Если на основное средство производитель (поставщик) предусмотрел гарантийный срок, ответственное лицо хранит также гарантийные талоны.</w:t>
      </w:r>
    </w:p>
    <w:p w14:paraId="6BE7246D">
      <w:pPr>
        <w:spacing w:line="240" w:lineRule="auto"/>
        <w:rPr>
          <w:rFonts w:hAnsi="Times New Roman" w:cs="Times New Roman"/>
          <w:color w:val="000000"/>
          <w:sz w:val="24"/>
          <w:szCs w:val="24"/>
        </w:rPr>
      </w:pPr>
      <w:r>
        <w:rPr>
          <w:rFonts w:hAnsi="Times New Roman" w:cs="Times New Roman"/>
          <w:color w:val="000000"/>
          <w:sz w:val="24"/>
          <w:szCs w:val="24"/>
        </w:rPr>
        <w:t>2.16. Справедливая стоимость безвозмездно полученных основных средств определяется в порядке, установленном для материальных запасов в пункте 22 СГС «Запасы».</w:t>
      </w:r>
    </w:p>
    <w:p w14:paraId="21ECE121">
      <w:pPr>
        <w:spacing w:line="240" w:lineRule="auto"/>
        <w:rPr>
          <w:rFonts w:hAnsi="Times New Roman" w:cs="Times New Roman"/>
          <w:color w:val="000000"/>
          <w:sz w:val="24"/>
          <w:szCs w:val="24"/>
        </w:rPr>
      </w:pPr>
      <w:r>
        <w:rPr>
          <w:rFonts w:hAnsi="Times New Roman" w:cs="Times New Roman"/>
          <w:color w:val="000000"/>
          <w:sz w:val="24"/>
          <w:szCs w:val="24"/>
        </w:rPr>
        <w:t>2.17. Арендованные объекты.</w:t>
      </w:r>
    </w:p>
    <w:p w14:paraId="2649C38F">
      <w:pPr>
        <w:spacing w:line="240" w:lineRule="auto"/>
        <w:rPr>
          <w:rFonts w:hAnsi="Times New Roman" w:cs="Times New Roman"/>
          <w:color w:val="000000"/>
          <w:sz w:val="24"/>
          <w:szCs w:val="24"/>
        </w:rPr>
      </w:pPr>
      <w:r>
        <w:rPr>
          <w:rFonts w:hAnsi="Times New Roman" w:cs="Times New Roman"/>
          <w:color w:val="000000"/>
          <w:sz w:val="24"/>
          <w:szCs w:val="24"/>
        </w:rPr>
        <w:t>Амортизация на права пользования активами начисляется ежемесячно на дату, установленную в графике платежей.</w:t>
      </w:r>
    </w:p>
    <w:p w14:paraId="4470D6E9">
      <w:pPr>
        <w:spacing w:line="240" w:lineRule="auto"/>
        <w:rPr>
          <w:rFonts w:hAnsi="Times New Roman" w:cs="Times New Roman"/>
          <w:color w:val="000000"/>
          <w:sz w:val="24"/>
          <w:szCs w:val="24"/>
        </w:rPr>
      </w:pPr>
      <w:r>
        <w:rPr>
          <w:rFonts w:hAnsi="Times New Roman" w:cs="Times New Roman"/>
          <w:color w:val="000000"/>
          <w:sz w:val="24"/>
          <w:szCs w:val="24"/>
        </w:rPr>
        <w:t>В случае произведения расходов в арендованные объекты, которые квалифицируются как неотделимые улучшения, учреждение учитывает их как инвентарные объекты. Каждому объекту неотделимых улучшений, включаемых в состав основных средств, присваивается инвентарный номер с обеспечением четкой связи с конкретным правом пользования активом. Структура инвентарного номера:</w:t>
      </w:r>
    </w:p>
    <w:p w14:paraId="48A1EF4E">
      <w:pPr>
        <w:spacing w:line="240" w:lineRule="auto"/>
        <w:rPr>
          <w:rFonts w:hAnsi="Times New Roman" w:cs="Times New Roman"/>
          <w:color w:val="000000"/>
          <w:sz w:val="24"/>
          <w:szCs w:val="24"/>
        </w:rPr>
      </w:pPr>
      <w:r>
        <w:rPr>
          <w:rFonts w:hAnsi="Times New Roman" w:cs="Times New Roman"/>
          <w:color w:val="000000"/>
          <w:sz w:val="24"/>
          <w:szCs w:val="24"/>
        </w:rPr>
        <w:t>1-2-й разряд – порядковый номер объекта аренды по договору. Если по договору в аренде или пользовании один объект, указывается номер 01;</w:t>
      </w:r>
    </w:p>
    <w:p w14:paraId="1110F9D2">
      <w:pPr>
        <w:spacing w:line="240" w:lineRule="auto"/>
        <w:rPr>
          <w:rFonts w:hAnsi="Times New Roman" w:cs="Times New Roman"/>
          <w:color w:val="000000"/>
          <w:sz w:val="24"/>
          <w:szCs w:val="24"/>
        </w:rPr>
      </w:pPr>
      <w:r>
        <w:rPr>
          <w:rFonts w:hAnsi="Times New Roman" w:cs="Times New Roman"/>
          <w:color w:val="000000"/>
          <w:sz w:val="24"/>
          <w:szCs w:val="24"/>
        </w:rPr>
        <w:t>3–4-е разряды – буквенный код для категории улучшения:</w:t>
      </w:r>
      <w:r>
        <w:br w:type="textWrapping"/>
      </w:r>
      <w:r>
        <w:rPr>
          <w:rFonts w:hAnsi="Times New Roman" w:cs="Times New Roman"/>
          <w:color w:val="000000"/>
          <w:sz w:val="24"/>
          <w:szCs w:val="24"/>
        </w:rPr>
        <w:t>- ОК – окна;</w:t>
      </w:r>
      <w:r>
        <w:br w:type="textWrapping"/>
      </w:r>
      <w:r>
        <w:rPr>
          <w:rFonts w:hAnsi="Times New Roman" w:cs="Times New Roman"/>
          <w:color w:val="000000"/>
          <w:sz w:val="24"/>
          <w:szCs w:val="24"/>
        </w:rPr>
        <w:t>- СГ – сигнализация;</w:t>
      </w:r>
      <w:r>
        <w:br w:type="textWrapping"/>
      </w:r>
      <w:r>
        <w:rPr>
          <w:rFonts w:hAnsi="Times New Roman" w:cs="Times New Roman"/>
          <w:color w:val="000000"/>
          <w:sz w:val="24"/>
          <w:szCs w:val="24"/>
        </w:rPr>
        <w:t>- ДВ – двери;</w:t>
      </w:r>
    </w:p>
    <w:p w14:paraId="2EB4CFDD">
      <w:pPr>
        <w:spacing w:line="240" w:lineRule="auto"/>
        <w:rPr>
          <w:rFonts w:hAnsi="Times New Roman" w:cs="Times New Roman"/>
          <w:color w:val="000000"/>
          <w:sz w:val="24"/>
          <w:szCs w:val="24"/>
        </w:rPr>
      </w:pPr>
      <w:r>
        <w:rPr>
          <w:rFonts w:hAnsi="Times New Roman" w:cs="Times New Roman"/>
          <w:color w:val="000000"/>
          <w:sz w:val="24"/>
          <w:szCs w:val="24"/>
        </w:rPr>
        <w:t>5–Х-е разряды – номер договора аренды или пользования.</w:t>
      </w:r>
    </w:p>
    <w:p w14:paraId="2B5F5D2A">
      <w:pPr>
        <w:spacing w:line="240" w:lineRule="auto"/>
        <w:rPr>
          <w:rFonts w:hAnsi="Times New Roman" w:cs="Times New Roman"/>
          <w:color w:val="000000"/>
          <w:sz w:val="24"/>
          <w:szCs w:val="24"/>
        </w:rPr>
      </w:pPr>
      <w:r>
        <w:rPr>
          <w:rFonts w:hAnsi="Times New Roman" w:cs="Times New Roman"/>
          <w:color w:val="000000"/>
          <w:sz w:val="24"/>
          <w:szCs w:val="24"/>
        </w:rPr>
        <w:t>Доходы от аренды признаются в соответствии с пунктом 10 учетной политики.</w:t>
      </w:r>
    </w:p>
    <w:p w14:paraId="2884F059">
      <w:pPr>
        <w:spacing w:line="240" w:lineRule="auto"/>
        <w:rPr>
          <w:rFonts w:hAnsi="Times New Roman" w:cs="Times New Roman"/>
          <w:color w:val="000000"/>
          <w:sz w:val="24"/>
          <w:szCs w:val="24"/>
        </w:rPr>
      </w:pPr>
      <w:r>
        <w:rPr>
          <w:rFonts w:hAnsi="Times New Roman" w:cs="Times New Roman"/>
          <w:b/>
          <w:bCs/>
          <w:color w:val="000000"/>
          <w:sz w:val="24"/>
          <w:szCs w:val="24"/>
        </w:rPr>
        <w:t>3. Нематериальные активы</w:t>
      </w:r>
    </w:p>
    <w:p w14:paraId="698B7EE9">
      <w:pPr>
        <w:spacing w:line="240" w:lineRule="auto"/>
        <w:rPr>
          <w:rFonts w:hAnsi="Times New Roman" w:cs="Times New Roman"/>
          <w:color w:val="000000"/>
          <w:sz w:val="24"/>
          <w:szCs w:val="24"/>
        </w:rPr>
      </w:pPr>
      <w:r>
        <w:rPr>
          <w:rFonts w:hAnsi="Times New Roman" w:cs="Times New Roman"/>
          <w:color w:val="000000"/>
          <w:sz w:val="24"/>
          <w:szCs w:val="24"/>
        </w:rPr>
        <w:t>3.1. Начисление амортизации осуществляется следующим образом:</w:t>
      </w:r>
    </w:p>
    <w:p w14:paraId="3E4F19A1">
      <w:pPr>
        <w:numPr>
          <w:ilvl w:val="0"/>
          <w:numId w:val="2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методом уменьшаемого остатка с применением коэффициента 2 — на нематериальные активы группы «Научные исследования (научно-исследовательские разработки)»;</w:t>
      </w:r>
    </w:p>
    <w:p w14:paraId="505050AF">
      <w:pPr>
        <w:numPr>
          <w:ilvl w:val="0"/>
          <w:numId w:val="2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линейным методом — на остальные объекты нематериальных активов.</w:t>
      </w:r>
    </w:p>
    <w:p w14:paraId="7B6560EB">
      <w:pPr>
        <w:spacing w:line="240" w:lineRule="auto"/>
        <w:rPr>
          <w:rFonts w:hAnsi="Times New Roman" w:cs="Times New Roman"/>
          <w:color w:val="000000"/>
          <w:sz w:val="24"/>
          <w:szCs w:val="24"/>
        </w:rPr>
      </w:pPr>
      <w:r>
        <w:rPr>
          <w:rFonts w:hAnsi="Times New Roman" w:cs="Times New Roman"/>
          <w:color w:val="000000"/>
          <w:sz w:val="24"/>
          <w:szCs w:val="24"/>
        </w:rPr>
        <w:t>Основание: пункты 30, 31 СГС «Нематериальные активы».</w:t>
      </w:r>
    </w:p>
    <w:p w14:paraId="11F8150C">
      <w:pPr>
        <w:spacing w:line="240" w:lineRule="auto"/>
        <w:rPr>
          <w:rFonts w:hAnsi="Times New Roman" w:cs="Times New Roman"/>
          <w:color w:val="000000"/>
          <w:sz w:val="24"/>
          <w:szCs w:val="24"/>
        </w:rPr>
      </w:pPr>
      <w:r>
        <w:rPr>
          <w:rFonts w:hAnsi="Times New Roman" w:cs="Times New Roman"/>
          <w:color w:val="000000"/>
          <w:sz w:val="24"/>
          <w:szCs w:val="24"/>
        </w:rPr>
        <w:t>3.2. Первоначальной стоимостью объекта нематериальных активов, приобретаемого в результате необменной операции, является его справедливая стоимость на дату приобретения.</w:t>
      </w:r>
    </w:p>
    <w:p w14:paraId="17E56336">
      <w:pPr>
        <w:spacing w:line="240" w:lineRule="auto"/>
        <w:rPr>
          <w:rFonts w:hAnsi="Times New Roman" w:cs="Times New Roman"/>
          <w:color w:val="000000"/>
          <w:sz w:val="24"/>
          <w:szCs w:val="24"/>
        </w:rPr>
      </w:pPr>
      <w:r>
        <w:rPr>
          <w:rFonts w:hAnsi="Times New Roman" w:cs="Times New Roman"/>
          <w:color w:val="000000"/>
          <w:sz w:val="24"/>
          <w:szCs w:val="24"/>
        </w:rPr>
        <w:t>3.3. Продолжительность периода, в течение которого предполагается использовать НМА, ежегодно определяется Комиссией по поступлению и выбытию активов.</w:t>
      </w:r>
    </w:p>
    <w:p w14:paraId="3813BC14">
      <w:pPr>
        <w:spacing w:line="240" w:lineRule="auto"/>
        <w:rPr>
          <w:rFonts w:hAnsi="Times New Roman" w:cs="Times New Roman"/>
          <w:color w:val="000000"/>
          <w:sz w:val="24"/>
          <w:szCs w:val="24"/>
        </w:rPr>
      </w:pPr>
      <w:r>
        <w:rPr>
          <w:rFonts w:hAnsi="Times New Roman" w:cs="Times New Roman"/>
          <w:color w:val="000000"/>
          <w:sz w:val="24"/>
          <w:szCs w:val="24"/>
        </w:rPr>
        <w:t>Срок полезного использования объекта НМА – секрета производства (ноу-хау) устанавливается исходя из срока, в течение которого соблюдается конфиденциальность сведений в отношении такого объекта, в том числе путем введения режима коммерческой тайны. Если срок охраны конфиденциальности не установлен, в учете возникает объект НМА с неопределенным сроком полезного использования.</w:t>
      </w:r>
    </w:p>
    <w:p w14:paraId="5FACED90">
      <w:pPr>
        <w:spacing w:line="240" w:lineRule="auto"/>
        <w:rPr>
          <w:rFonts w:hAnsi="Times New Roman" w:cs="Times New Roman"/>
          <w:color w:val="000000"/>
          <w:sz w:val="24"/>
          <w:szCs w:val="24"/>
        </w:rPr>
      </w:pPr>
      <w:r>
        <w:rPr>
          <w:rFonts w:hAnsi="Times New Roman" w:cs="Times New Roman"/>
          <w:color w:val="000000"/>
          <w:sz w:val="24"/>
          <w:szCs w:val="24"/>
        </w:rPr>
        <w:t>Изменение продолжительности оставшегося периода использования НМА является существенным, если это изменение (разница между продолжительностью оставшегося текущего периода использования и предполагаемого) составляет 10 % или более от продолжительности оставшегося текущего периода. Срок полезного использования таких объектов НМА подлежит уточнению.</w:t>
      </w:r>
    </w:p>
    <w:p w14:paraId="6AB840CC">
      <w:pPr>
        <w:spacing w:line="240" w:lineRule="auto"/>
        <w:rPr>
          <w:rFonts w:hAnsi="Times New Roman" w:cs="Times New Roman"/>
          <w:color w:val="000000"/>
          <w:sz w:val="24"/>
          <w:szCs w:val="24"/>
        </w:rPr>
      </w:pPr>
      <w:r>
        <w:rPr>
          <w:rFonts w:hAnsi="Times New Roman" w:cs="Times New Roman"/>
          <w:color w:val="000000"/>
          <w:sz w:val="24"/>
          <w:szCs w:val="24"/>
        </w:rPr>
        <w:t>3.4. Первоначальная стоимость НМА, созданных учреждением, помимо затрат, указанных в пунктах 19–22 СГС «Нематериальные активы», также включает:</w:t>
      </w:r>
    </w:p>
    <w:p w14:paraId="3243DABD">
      <w:pPr>
        <w:numPr>
          <w:ilvl w:val="0"/>
          <w:numId w:val="2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расходы на приобретение инструментов, приспособлений, инвентаря, приборов, лабораторного оборудования, спецодежды;</w:t>
      </w:r>
    </w:p>
    <w:p w14:paraId="6DA81B1E">
      <w:pPr>
        <w:numPr>
          <w:ilvl w:val="0"/>
          <w:numId w:val="2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расходы на заработную плату тестировщиков программного обеспечения, созданного силами учреждения;</w:t>
      </w:r>
    </w:p>
    <w:p w14:paraId="7470B5F8">
      <w:pPr>
        <w:spacing w:line="240" w:lineRule="auto"/>
        <w:rPr>
          <w:rFonts w:hAnsi="Times New Roman" w:cs="Times New Roman"/>
          <w:color w:val="000000"/>
          <w:sz w:val="24"/>
          <w:szCs w:val="24"/>
        </w:rPr>
      </w:pPr>
      <w:r>
        <w:rPr>
          <w:rFonts w:hAnsi="Times New Roman" w:cs="Times New Roman"/>
          <w:color w:val="000000"/>
          <w:sz w:val="24"/>
          <w:szCs w:val="24"/>
        </w:rPr>
        <w:t>3.5. Учреждение дополнительно раскрывает в отчетности данные по группам нематериальных активов раздельно по объектам, которые созданы собственными силами, и прочим объектам в части изменения стоимости объектов в результате недостач и излишков.</w:t>
      </w:r>
      <w:r>
        <w:br w:type="textWrapping"/>
      </w:r>
      <w:r>
        <w:rPr>
          <w:rFonts w:hAnsi="Times New Roman" w:cs="Times New Roman"/>
          <w:color w:val="000000"/>
          <w:sz w:val="24"/>
          <w:szCs w:val="24"/>
        </w:rPr>
        <w:t>Основание: пункт 44 СГС «Нематериальные активы».</w:t>
      </w:r>
    </w:p>
    <w:p w14:paraId="2FFE14F7">
      <w:pPr>
        <w:spacing w:line="240" w:lineRule="auto"/>
        <w:rPr>
          <w:rFonts w:hAnsi="Times New Roman" w:cs="Times New Roman"/>
          <w:color w:val="000000"/>
          <w:sz w:val="24"/>
          <w:szCs w:val="24"/>
        </w:rPr>
      </w:pPr>
      <w:r>
        <w:rPr>
          <w:rFonts w:hAnsi="Times New Roman" w:cs="Times New Roman"/>
          <w:b/>
          <w:bCs/>
          <w:color w:val="000000"/>
          <w:sz w:val="24"/>
          <w:szCs w:val="24"/>
        </w:rPr>
        <w:t>4. Непроизведенные активы</w:t>
      </w:r>
    </w:p>
    <w:p w14:paraId="02756337">
      <w:pPr>
        <w:spacing w:line="240" w:lineRule="auto"/>
        <w:rPr>
          <w:rFonts w:hAnsi="Times New Roman" w:cs="Times New Roman"/>
          <w:color w:val="000000"/>
          <w:sz w:val="24"/>
          <w:szCs w:val="24"/>
        </w:rPr>
      </w:pPr>
      <w:r>
        <w:rPr>
          <w:rFonts w:hAnsi="Times New Roman" w:cs="Times New Roman"/>
          <w:color w:val="000000"/>
          <w:sz w:val="24"/>
          <w:szCs w:val="24"/>
        </w:rPr>
        <w:t>4.1. Справедливая стоимость земельного участка, впервые вовлекаемого в хозяйственный оборот, на которые не разграничена государственная собственность и которые не внесены в ЕГРН, рассчитывается на основе кадастровой стоимости аналогичного земельного участка, который внесен в ЕГРН.</w:t>
      </w:r>
      <w:r>
        <w:br w:type="textWrapping"/>
      </w:r>
      <w:r>
        <w:rPr>
          <w:rFonts w:hAnsi="Times New Roman" w:cs="Times New Roman"/>
          <w:color w:val="000000"/>
          <w:sz w:val="24"/>
          <w:szCs w:val="24"/>
        </w:rPr>
        <w:t>Основание: пункты 17 СГС «Непроизведенные активы»</w:t>
      </w:r>
    </w:p>
    <w:p w14:paraId="3833E6E9">
      <w:pPr>
        <w:spacing w:line="240" w:lineRule="auto"/>
        <w:rPr>
          <w:rFonts w:hAnsi="Times New Roman" w:cs="Times New Roman"/>
          <w:color w:val="000000"/>
          <w:sz w:val="24"/>
          <w:szCs w:val="24"/>
        </w:rPr>
      </w:pPr>
      <w:r>
        <w:rPr>
          <w:rFonts w:hAnsi="Times New Roman" w:cs="Times New Roman"/>
          <w:color w:val="000000"/>
          <w:sz w:val="24"/>
          <w:szCs w:val="24"/>
        </w:rPr>
        <w:t>4.2. Каждому инвентарному объекту непроизведенных активов в момент принятия к бухгалтерскому учету присваивается инвентарный номер. Инвентарный номер объекта непроизведенных активов состоит из пятнадцати знаков, определяемый последовательно по мере принятия к учету непроизведенных активов – Х.Х.ХХХХХХ.ХХХХ, где:</w:t>
      </w:r>
    </w:p>
    <w:p w14:paraId="2EA3E32F">
      <w:pPr>
        <w:numPr>
          <w:ilvl w:val="0"/>
          <w:numId w:val="2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1 разряд – код синтетической группы инвентарного объекта непроизведенных активов по счету 103 «Непроизведенные активы» – «3»;</w:t>
      </w:r>
    </w:p>
    <w:p w14:paraId="473E0EF2">
      <w:pPr>
        <w:numPr>
          <w:ilvl w:val="0"/>
          <w:numId w:val="2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2 разряд – код вида инвентарного номера «1» – индивидуальный инвентарный объект;</w:t>
      </w:r>
    </w:p>
    <w:p w14:paraId="1D3E2F3E">
      <w:pPr>
        <w:numPr>
          <w:ilvl w:val="0"/>
          <w:numId w:val="2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3–8 разряды – порядковый номер инвентарного объекта (000001, 000002 и т.д.);</w:t>
      </w:r>
    </w:p>
    <w:p w14:paraId="20022206">
      <w:pPr>
        <w:numPr>
          <w:ilvl w:val="0"/>
          <w:numId w:val="2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9–12 разряды – внутренний групповой инвентарный номер (0001, 0002 и т.д.). Для индивидуального инвентарного объекта указывается 0000.</w:t>
      </w:r>
    </w:p>
    <w:p w14:paraId="1B722D5A">
      <w:pPr>
        <w:spacing w:line="240" w:lineRule="auto"/>
        <w:rPr>
          <w:rFonts w:hAnsi="Times New Roman" w:cs="Times New Roman"/>
          <w:color w:val="000000"/>
          <w:sz w:val="24"/>
          <w:szCs w:val="24"/>
        </w:rPr>
      </w:pPr>
      <w:r>
        <w:rPr>
          <w:rFonts w:hAnsi="Times New Roman" w:cs="Times New Roman"/>
          <w:b/>
          <w:bCs/>
          <w:color w:val="000000"/>
          <w:sz w:val="24"/>
          <w:szCs w:val="24"/>
        </w:rPr>
        <w:t>5. Материальные запасы</w:t>
      </w:r>
    </w:p>
    <w:p w14:paraId="72EAAE2A">
      <w:pPr>
        <w:spacing w:line="240" w:lineRule="auto"/>
        <w:rPr>
          <w:rFonts w:hAnsi="Times New Roman" w:cs="Times New Roman"/>
          <w:color w:val="000000"/>
          <w:sz w:val="24"/>
          <w:szCs w:val="24"/>
        </w:rPr>
      </w:pPr>
      <w:r>
        <w:rPr>
          <w:rFonts w:hAnsi="Times New Roman" w:cs="Times New Roman"/>
          <w:color w:val="000000"/>
          <w:sz w:val="24"/>
          <w:szCs w:val="24"/>
        </w:rPr>
        <w:t>5.1. Учреждение учитывает материальные запасы с разбивкой на аналитические группы по кодам вида синтетического счета:</w:t>
      </w:r>
    </w:p>
    <w:p w14:paraId="2663ABBE">
      <w:pPr>
        <w:spacing w:line="240" w:lineRule="auto"/>
        <w:rPr>
          <w:rFonts w:hAnsi="Times New Roman" w:cs="Times New Roman"/>
          <w:color w:val="000000"/>
          <w:sz w:val="24"/>
          <w:szCs w:val="24"/>
        </w:rPr>
      </w:pPr>
      <w:r>
        <w:rPr>
          <w:rFonts w:hAnsi="Times New Roman" w:cs="Times New Roman"/>
          <w:color w:val="000000"/>
          <w:sz w:val="24"/>
          <w:szCs w:val="24"/>
        </w:rPr>
        <w:t>1 «Лекарственные препараты и медицинские материалы» – медикаменты, компоненты, эндопротезы, бактерийные препараты, сыворотки, вакцины, кровь и перевязочные средства, иные лекарственные препараты и медицинские изделия, применяемые в медицинских целях.</w:t>
      </w:r>
    </w:p>
    <w:p w14:paraId="45D65F9E">
      <w:pPr>
        <w:spacing w:line="240" w:lineRule="auto"/>
        <w:rPr>
          <w:rFonts w:hAnsi="Times New Roman" w:cs="Times New Roman"/>
          <w:color w:val="000000"/>
          <w:sz w:val="24"/>
          <w:szCs w:val="24"/>
        </w:rPr>
      </w:pPr>
      <w:r>
        <w:rPr>
          <w:rFonts w:hAnsi="Times New Roman" w:cs="Times New Roman"/>
          <w:color w:val="000000"/>
          <w:sz w:val="24"/>
          <w:szCs w:val="24"/>
        </w:rPr>
        <w:t>2 «Продукты питания» - продукты питания, продовольственные пайки, молочные смеси, лечебно-профилактическое питание и т.д.</w:t>
      </w:r>
    </w:p>
    <w:p w14:paraId="636D9081">
      <w:pPr>
        <w:spacing w:line="240" w:lineRule="auto"/>
        <w:rPr>
          <w:rFonts w:hAnsi="Times New Roman" w:cs="Times New Roman"/>
          <w:color w:val="000000"/>
          <w:sz w:val="24"/>
          <w:szCs w:val="24"/>
        </w:rPr>
      </w:pPr>
      <w:r>
        <w:rPr>
          <w:rFonts w:hAnsi="Times New Roman" w:cs="Times New Roman"/>
          <w:color w:val="000000"/>
          <w:sz w:val="24"/>
          <w:szCs w:val="24"/>
        </w:rPr>
        <w:t>3 «Горюче-смазочные материалы» – все виды топлива, горючего и смазочных материалов, в том числе дрова, уголь, торф, бензин, керосин, мазут, автол, иные материалы, используемые в качестве топлива и (или) смазочных материалов для обеспечения функционирования топливных систем.</w:t>
      </w:r>
    </w:p>
    <w:p w14:paraId="79D10E10">
      <w:pPr>
        <w:spacing w:line="240" w:lineRule="auto"/>
        <w:rPr>
          <w:rFonts w:hAnsi="Times New Roman" w:cs="Times New Roman"/>
          <w:color w:val="000000"/>
          <w:sz w:val="24"/>
          <w:szCs w:val="24"/>
        </w:rPr>
      </w:pPr>
      <w:r>
        <w:rPr>
          <w:rFonts w:hAnsi="Times New Roman" w:cs="Times New Roman"/>
          <w:color w:val="000000"/>
          <w:sz w:val="24"/>
          <w:szCs w:val="24"/>
        </w:rPr>
        <w:t>4 «Строительные материалы» – все виды строительных материалов, включая строительные материалы для целей капитальных вложений:</w:t>
      </w:r>
    </w:p>
    <w:p w14:paraId="4AEFD53B">
      <w:pPr>
        <w:numPr>
          <w:ilvl w:val="0"/>
          <w:numId w:val="2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силикатные материалы (цемент, песок, гравий, известь, камень, кирпич, черепица), лесные материалы (лес круглый, пиломатериалы, фанера и т.п.), строительный металл (железо, жесть, сталь, цинк листовой и т.п.), металлоизделия (гвозди, гайки, болты, скобяные изделия и т.п.), санитарно-технические материалы (краны, муфты, тройники и т.п.), электротехнические материалы (кабель, лампы, патроны, ролики, шнур, провод, предохранители, изоляторы и т.п.), химико-москательные (краска, олифа, толь и т.п.) и другие аналогичные материалы;</w:t>
      </w:r>
    </w:p>
    <w:p w14:paraId="1F5F2E51">
      <w:pPr>
        <w:numPr>
          <w:ilvl w:val="0"/>
          <w:numId w:val="2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и иных систем (отопительные котлы, радиаторы и т.п.);</w:t>
      </w:r>
    </w:p>
    <w:p w14:paraId="08286223">
      <w:pPr>
        <w:numPr>
          <w:ilvl w:val="0"/>
          <w:numId w:val="2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оборудование, требующее монтажа и предназначенное для установки. К оборудованию, требующему монтажа, относится оборудование, которое может быть введено в действие только после сборки его частей и прикрепления к фундаменту или опорам зданий и сооружений, а также комплекты запасных частей такого оборудования. При этом в состав оборудования включается и контрольно-измерительная аппаратура или другие приборы, предназначенные для монтажа в составе установленного оборудования, и другие материальные ценности, необходимые для строительно-монтажных работ.</w:t>
      </w:r>
    </w:p>
    <w:p w14:paraId="0745F29C">
      <w:pPr>
        <w:spacing w:line="240" w:lineRule="auto"/>
        <w:rPr>
          <w:rFonts w:hAnsi="Times New Roman" w:cs="Times New Roman"/>
          <w:color w:val="000000"/>
          <w:sz w:val="24"/>
          <w:szCs w:val="24"/>
        </w:rPr>
      </w:pPr>
      <w:r>
        <w:rPr>
          <w:rFonts w:hAnsi="Times New Roman" w:cs="Times New Roman"/>
          <w:color w:val="000000"/>
          <w:sz w:val="24"/>
          <w:szCs w:val="24"/>
        </w:rPr>
        <w:t>5 «Мягкий инвентарь»:</w:t>
      </w:r>
    </w:p>
    <w:p w14:paraId="01BDF706">
      <w:pPr>
        <w:numPr>
          <w:ilvl w:val="0"/>
          <w:numId w:val="2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белье (рубашки, сорочки, халаты и т.п.);</w:t>
      </w:r>
    </w:p>
    <w:p w14:paraId="230C73D7">
      <w:pPr>
        <w:numPr>
          <w:ilvl w:val="0"/>
          <w:numId w:val="2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постельное белье и принадлежности (матрацы, подушки, одеяла, простыни, пододеяльники, наволочки, покрывала, мешки спальные и т.п.);</w:t>
      </w:r>
    </w:p>
    <w:p w14:paraId="0425347B">
      <w:pPr>
        <w:numPr>
          <w:ilvl w:val="0"/>
          <w:numId w:val="2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одежда и обмундирование, включая спецодежду (костюмы, пальто, плащи, полушубки, платья, кофты, юбки, куртки, брюки и т.п.);</w:t>
      </w:r>
    </w:p>
    <w:p w14:paraId="00E7C2D9">
      <w:pPr>
        <w:numPr>
          <w:ilvl w:val="0"/>
          <w:numId w:val="2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обувь, включая специальную (ботинки, сапоги, сандалии, валенки и т.п.);</w:t>
      </w:r>
    </w:p>
    <w:p w14:paraId="0B1101BE">
      <w:pPr>
        <w:numPr>
          <w:ilvl w:val="0"/>
          <w:numId w:val="2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спортивная одежда и обувь (костюмы, ботинки и т.п.);</w:t>
      </w:r>
    </w:p>
    <w:p w14:paraId="4DF4C657">
      <w:pPr>
        <w:numPr>
          <w:ilvl w:val="0"/>
          <w:numId w:val="25"/>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прочий мягкий инвентарь.</w:t>
      </w:r>
    </w:p>
    <w:p w14:paraId="2AA05177">
      <w:pPr>
        <w:spacing w:line="240" w:lineRule="auto"/>
        <w:rPr>
          <w:rFonts w:hAnsi="Times New Roman" w:cs="Times New Roman"/>
          <w:color w:val="000000"/>
          <w:sz w:val="24"/>
          <w:szCs w:val="24"/>
        </w:rPr>
      </w:pPr>
      <w:r>
        <w:rPr>
          <w:rFonts w:hAnsi="Times New Roman" w:cs="Times New Roman"/>
          <w:color w:val="000000"/>
          <w:sz w:val="24"/>
          <w:szCs w:val="24"/>
        </w:rPr>
        <w:t>В состав специальной одежды входит: специальная одежда, специальная обувь и предохранительные приспособления (комбинезоны, костюмы, куртки, брюки, халаты, полушубки, тулупы, различная обувь, рукавицы, очки, шлемы, противогазы, респираторы, другие виды специальной одежды), функционально ориентированные на охрану труда, технику безопасности, гражданскую оборону, защиту населения от чрезвычайных ситуаций природного и техногенного характера.</w:t>
      </w:r>
    </w:p>
    <w:p w14:paraId="5FC6B752">
      <w:pPr>
        <w:spacing w:line="240" w:lineRule="auto"/>
        <w:rPr>
          <w:rFonts w:hAnsi="Times New Roman" w:cs="Times New Roman"/>
          <w:color w:val="000000"/>
          <w:sz w:val="24"/>
          <w:szCs w:val="24"/>
        </w:rPr>
      </w:pPr>
      <w:r>
        <w:rPr>
          <w:rFonts w:hAnsi="Times New Roman" w:cs="Times New Roman"/>
          <w:color w:val="000000"/>
          <w:sz w:val="24"/>
          <w:szCs w:val="24"/>
        </w:rPr>
        <w:t>Предметы мягкого инвентаря, за исключением одежды и обуви для всех групп воспитанников организаций для детей-сирот и детей, оставшихся без попечения родителей, маркируются ответственным лицом в присутствии руководителя учреждения или его заместителя и работника бухгалтерии специальным штампом несмываемой краской без порчи внешнего вида предмета, с указанием наименования учреждения, а при выдаче предметов в эксплуатацию производится дополнительная маркировка с указанием года и месяца выдачи их со склада. Маркировочные штампы должны храниться у руководителя учреждения или его заместителя.</w:t>
      </w:r>
    </w:p>
    <w:p w14:paraId="25F32C4E">
      <w:pPr>
        <w:spacing w:line="240" w:lineRule="auto"/>
        <w:rPr>
          <w:rFonts w:hAnsi="Times New Roman" w:cs="Times New Roman"/>
          <w:color w:val="000000"/>
          <w:sz w:val="24"/>
          <w:szCs w:val="24"/>
        </w:rPr>
      </w:pPr>
      <w:r>
        <w:rPr>
          <w:rFonts w:hAnsi="Times New Roman" w:cs="Times New Roman"/>
          <w:color w:val="000000"/>
          <w:sz w:val="24"/>
          <w:szCs w:val="24"/>
        </w:rPr>
        <w:t>6 «Прочие материальные запасы»:</w:t>
      </w:r>
    </w:p>
    <w:p w14:paraId="50F8C4F8">
      <w:pPr>
        <w:numPr>
          <w:ilvl w:val="0"/>
          <w:numId w:val="2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спецоборудование для научно-исследовательских и опытно-конструкторских работ, приобретенное по договорам с заказчиками для обеспечения выполнения условий договоров до передачи его в научное подразделение;</w:t>
      </w:r>
    </w:p>
    <w:p w14:paraId="5DEC7D85">
      <w:pPr>
        <w:numPr>
          <w:ilvl w:val="0"/>
          <w:numId w:val="2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молодняк всех видов животных и животные на откорме (например, птицы, кролики, пушные звери), семьи пчел независимо от их стоимости в случае, если они предназначены для использования в научно-исследовательских, селекционных целях, а также менее 12 месяцев для целей обучения или для любой другой деятельности, не являющейся деятельностью по биотрансформации;</w:t>
      </w:r>
    </w:p>
    <w:p w14:paraId="573ECAEA">
      <w:pPr>
        <w:numPr>
          <w:ilvl w:val="0"/>
          <w:numId w:val="2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приплод молодняка (не для продажи, для собственных нужд) при наличии в учреждениях рабочего скота;</w:t>
      </w:r>
    </w:p>
    <w:p w14:paraId="279734CE">
      <w:pPr>
        <w:numPr>
          <w:ilvl w:val="0"/>
          <w:numId w:val="2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посадочный, семенной материал для собственных нужд;</w:t>
      </w:r>
    </w:p>
    <w:p w14:paraId="2596A0A0">
      <w:pPr>
        <w:numPr>
          <w:ilvl w:val="0"/>
          <w:numId w:val="2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реактивы и химикаты, стекло и химпосуда, металлы, электроматериалы, радиоматериалы и радиодетали, фотопринадлежности, подопытные животные и прочие материалы для учебных целей и научно-исследовательских работ, драгоценные и другие металлы для протезирования, а также инвалидная техника и средства передвижения для инвалидов;</w:t>
      </w:r>
    </w:p>
    <w:p w14:paraId="0604849F">
      <w:pPr>
        <w:numPr>
          <w:ilvl w:val="0"/>
          <w:numId w:val="2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хозяйственные материалы (электрические лампочки, мыло, щетки и др.), канцелярские принадлежности (бумага, карандаши, ручки, стержни и др.);</w:t>
      </w:r>
    </w:p>
    <w:p w14:paraId="5BE30FF8">
      <w:pPr>
        <w:numPr>
          <w:ilvl w:val="0"/>
          <w:numId w:val="2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посуда;</w:t>
      </w:r>
    </w:p>
    <w:p w14:paraId="59DF9ACB">
      <w:pPr>
        <w:numPr>
          <w:ilvl w:val="0"/>
          <w:numId w:val="2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возвратная или обменная тара (бочки, бидоны, ящики, банки стеклянные, бутылки и т.п.) как свободная (порожняя), так и находящаяся с материальными ценностями;</w:t>
      </w:r>
    </w:p>
    <w:p w14:paraId="0032E1B6">
      <w:pPr>
        <w:numPr>
          <w:ilvl w:val="0"/>
          <w:numId w:val="2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корма и фураж (сено, овес и другие виды кормов и фуража для животных), семена, удобрения;</w:t>
      </w:r>
    </w:p>
    <w:p w14:paraId="5E6B2A12">
      <w:pPr>
        <w:numPr>
          <w:ilvl w:val="0"/>
          <w:numId w:val="2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книжная, иная печатная продукция, кроме печатной продукции, предназначенной для продажи, а также библиотечного фонда и бланочной продукции строгой отчетности (бланков ценных бумаг, квитанционных книжек, голограмм, аттестатов, дипломов, бланков удостоверений, бланков трудовых книжек (вкладышей к ним) и других бланков, изготовленных типографским способом по форме, утвержденной правовым актом органа власти, учреждения, в случаях, предусмотренных действующим законодательством, содержащей номер, серию, имеющих степень защиты и специальные требования по их хранению, выдаче и уничтожению (далее - бланки строгой отчетности), выданной ответственным лицам в рамках хозяйственной деятельности учреждения со склада или приобретенной ответственными лицами в случае, когда материальные ценности не принимаются на склад;</w:t>
      </w:r>
    </w:p>
    <w:p w14:paraId="7BD9B68E">
      <w:pPr>
        <w:numPr>
          <w:ilvl w:val="0"/>
          <w:numId w:val="2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запасные части, предназначенные для ремонта и замены изношенных частей в машинах и оборудовании, транспортных средствах, объектах производственного и хозяйственного инвентаря;</w:t>
      </w:r>
    </w:p>
    <w:p w14:paraId="007001A7">
      <w:pPr>
        <w:numPr>
          <w:ilvl w:val="0"/>
          <w:numId w:val="2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материалы специального назначения;</w:t>
      </w:r>
    </w:p>
    <w:p w14:paraId="2C98CFC3">
      <w:pPr>
        <w:numPr>
          <w:ilvl w:val="0"/>
          <w:numId w:val="26"/>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иные материальные запасы.</w:t>
      </w:r>
    </w:p>
    <w:p w14:paraId="64C95088">
      <w:pPr>
        <w:spacing w:line="240" w:lineRule="auto"/>
        <w:rPr>
          <w:rFonts w:hAnsi="Times New Roman" w:cs="Times New Roman"/>
          <w:color w:val="000000"/>
          <w:sz w:val="24"/>
          <w:szCs w:val="24"/>
        </w:rPr>
      </w:pPr>
      <w:r>
        <w:rPr>
          <w:rFonts w:hAnsi="Times New Roman" w:cs="Times New Roman"/>
          <w:color w:val="000000"/>
          <w:sz w:val="24"/>
          <w:szCs w:val="24"/>
        </w:rPr>
        <w:t>5.2. Единица учета материальных запасов в учреждении – номенклатурная (реестровая) единица. Исключения:</w:t>
      </w:r>
    </w:p>
    <w:p w14:paraId="7569277A">
      <w:pPr>
        <w:numPr>
          <w:ilvl w:val="0"/>
          <w:numId w:val="2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группы материальных запасов, характеристики которых совпадают, например: офисная бумага одного формата с одинаковым количеством листов в пачке, кнопки канцелярские с одинаковыми диаметром и количеством штук в коробке и т. д. Единица учета таких материальных запасов – однородная (реестровая) группа запасов;</w:t>
      </w:r>
    </w:p>
    <w:p w14:paraId="3A5F7AD8">
      <w:pPr>
        <w:numPr>
          <w:ilvl w:val="0"/>
          <w:numId w:val="27"/>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материальные запасы с ограниченным сроком годности – продукты питания, медикаменты и др., а также товары для продажи. Единица учета таких материальных запасов – партия.</w:t>
      </w:r>
    </w:p>
    <w:p w14:paraId="07FDE61D">
      <w:pPr>
        <w:spacing w:line="240" w:lineRule="auto"/>
        <w:rPr>
          <w:rFonts w:hAnsi="Times New Roman" w:cs="Times New Roman"/>
          <w:color w:val="000000"/>
          <w:sz w:val="24"/>
          <w:szCs w:val="24"/>
        </w:rPr>
      </w:pPr>
      <w:r>
        <w:rPr>
          <w:rFonts w:hAnsi="Times New Roman" w:cs="Times New Roman"/>
          <w:color w:val="000000"/>
          <w:sz w:val="24"/>
          <w:szCs w:val="24"/>
        </w:rPr>
        <w:t>Решение о применении единиц учета «однородная (реестровая) группа запасов» и «партия» принимает бухгалтер на основе своего профессионального суждения.</w:t>
      </w:r>
    </w:p>
    <w:p w14:paraId="68E1E69E">
      <w:pPr>
        <w:spacing w:line="240" w:lineRule="auto"/>
        <w:rPr>
          <w:rFonts w:hAnsi="Times New Roman" w:cs="Times New Roman"/>
          <w:color w:val="000000"/>
          <w:sz w:val="24"/>
          <w:szCs w:val="24"/>
        </w:rPr>
      </w:pPr>
      <w:r>
        <w:rPr>
          <w:rFonts w:hAnsi="Times New Roman" w:cs="Times New Roman"/>
          <w:color w:val="000000"/>
          <w:sz w:val="24"/>
          <w:szCs w:val="24"/>
        </w:rPr>
        <w:t>Если в первичных документах поставщика единицы измерения отличаются от тех, которые использует учреждение, ответственный сотрудник оформляет акт перевода единиц измерения. Акт прикладывают к первичным документам поставщика.</w:t>
      </w:r>
    </w:p>
    <w:p w14:paraId="3352EBD6">
      <w:pPr>
        <w:spacing w:line="240" w:lineRule="auto"/>
        <w:rPr>
          <w:rFonts w:hAnsi="Times New Roman" w:cs="Times New Roman"/>
          <w:color w:val="000000"/>
          <w:sz w:val="24"/>
          <w:szCs w:val="24"/>
        </w:rPr>
      </w:pPr>
      <w:r>
        <w:rPr>
          <w:rFonts w:hAnsi="Times New Roman" w:cs="Times New Roman"/>
          <w:color w:val="000000"/>
          <w:sz w:val="24"/>
          <w:szCs w:val="24"/>
        </w:rPr>
        <w:t>Основание: пункт 8 СГС «Запасы».</w:t>
      </w:r>
    </w:p>
    <w:p w14:paraId="3CB59A74">
      <w:pPr>
        <w:spacing w:line="240" w:lineRule="auto"/>
        <w:rPr>
          <w:rFonts w:hAnsi="Times New Roman" w:cs="Times New Roman"/>
          <w:color w:val="000000"/>
          <w:sz w:val="24"/>
          <w:szCs w:val="24"/>
        </w:rPr>
      </w:pPr>
      <w:r>
        <w:rPr>
          <w:rFonts w:hAnsi="Times New Roman" w:cs="Times New Roman"/>
          <w:color w:val="000000"/>
          <w:sz w:val="24"/>
          <w:szCs w:val="24"/>
        </w:rPr>
        <w:t>5.3.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14:paraId="670EF92E">
      <w:pPr>
        <w:numPr>
          <w:ilvl w:val="0"/>
          <w:numId w:val="2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их справедливой стоимости на дату принятия к бухгалтерскому учету, рассчитанной методом рыночных цен;</w:t>
      </w:r>
    </w:p>
    <w:p w14:paraId="7DA96DDD">
      <w:pPr>
        <w:numPr>
          <w:ilvl w:val="0"/>
          <w:numId w:val="28"/>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сумм, уплачиваемых учреждением за доставку материальных запасов, приведение их в состояние, пригодное для использования.</w:t>
      </w:r>
    </w:p>
    <w:p w14:paraId="0346B7E4">
      <w:pPr>
        <w:spacing w:line="240" w:lineRule="auto"/>
        <w:rPr>
          <w:rFonts w:hAnsi="Times New Roman" w:cs="Times New Roman"/>
          <w:color w:val="000000"/>
          <w:sz w:val="24"/>
          <w:szCs w:val="24"/>
        </w:rPr>
      </w:pPr>
      <w:r>
        <w:rPr>
          <w:rFonts w:hAnsi="Times New Roman" w:cs="Times New Roman"/>
          <w:color w:val="000000"/>
          <w:sz w:val="24"/>
          <w:szCs w:val="24"/>
        </w:rPr>
        <w:t>Основание: пункты 52–60 СГС «Концептуальные основы бухучета и отчетности».</w:t>
      </w:r>
    </w:p>
    <w:p w14:paraId="25D7D53E">
      <w:pPr>
        <w:spacing w:line="240" w:lineRule="auto"/>
        <w:rPr>
          <w:rFonts w:hAnsi="Times New Roman" w:cs="Times New Roman"/>
          <w:color w:val="000000"/>
          <w:sz w:val="24"/>
          <w:szCs w:val="24"/>
        </w:rPr>
      </w:pPr>
      <w:r>
        <w:rPr>
          <w:rFonts w:hAnsi="Times New Roman" w:cs="Times New Roman"/>
          <w:color w:val="000000"/>
          <w:sz w:val="24"/>
          <w:szCs w:val="24"/>
        </w:rPr>
        <w:t>5.4. Приобретенные, но находящиеся в пути запасы признаются в бухгалтерском учете в оценке, предусмотренной государственным контрактом (договором). Если учреждение понесло затраты, перечисленные в пункте 19 СГС «Запасы», стоимость запасов увеличивается на сумму данных затрат в день поступления запасов в учреждение. Отклонения фактической стоимости материальных запасов от учетной цены отдельно в учете не отражаются.</w:t>
      </w:r>
      <w:r>
        <w:br w:type="textWrapping"/>
      </w:r>
      <w:r>
        <w:rPr>
          <w:rFonts w:hAnsi="Times New Roman" w:cs="Times New Roman"/>
          <w:color w:val="000000"/>
          <w:sz w:val="24"/>
          <w:szCs w:val="24"/>
        </w:rPr>
        <w:t>Основание: пункт 18 СГС «Запасы».</w:t>
      </w:r>
    </w:p>
    <w:p w14:paraId="776F28F0">
      <w:pPr>
        <w:spacing w:line="240" w:lineRule="auto"/>
        <w:rPr>
          <w:rFonts w:hAnsi="Times New Roman" w:cs="Times New Roman"/>
          <w:color w:val="000000"/>
          <w:sz w:val="24"/>
          <w:szCs w:val="24"/>
        </w:rPr>
      </w:pPr>
      <w:r>
        <w:rPr>
          <w:rFonts w:hAnsi="Times New Roman" w:cs="Times New Roman"/>
          <w:color w:val="000000"/>
          <w:sz w:val="24"/>
          <w:szCs w:val="24"/>
        </w:rPr>
        <w:t>5.5.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в день получения документов о доставке.</w:t>
      </w:r>
      <w:r>
        <w:br w:type="textWrapping"/>
      </w:r>
      <w:r>
        <w:rPr>
          <w:rFonts w:hAnsi="Times New Roman" w:cs="Times New Roman"/>
          <w:color w:val="000000"/>
          <w:sz w:val="24"/>
          <w:szCs w:val="24"/>
        </w:rPr>
        <w:t>Основание: пункт 19 СГС «Запасы».</w:t>
      </w:r>
    </w:p>
    <w:p w14:paraId="07C07B04">
      <w:pPr>
        <w:spacing w:line="240" w:lineRule="auto"/>
        <w:rPr>
          <w:rFonts w:hAnsi="Times New Roman" w:cs="Times New Roman"/>
          <w:color w:val="000000"/>
          <w:sz w:val="24"/>
          <w:szCs w:val="24"/>
        </w:rPr>
      </w:pPr>
      <w:r>
        <w:rPr>
          <w:rFonts w:hAnsi="Times New Roman" w:cs="Times New Roman"/>
          <w:color w:val="000000"/>
          <w:sz w:val="24"/>
          <w:szCs w:val="24"/>
        </w:rPr>
        <w:t>5.6. Специальные жидкости для автомобиля (тормозная, стеклоомывающая, тосол и другие охлаждающие) учитываются на счете 105.03.</w:t>
      </w:r>
    </w:p>
    <w:p w14:paraId="3F185B68">
      <w:pPr>
        <w:spacing w:line="240" w:lineRule="auto"/>
        <w:rPr>
          <w:rFonts w:hAnsi="Times New Roman" w:cs="Times New Roman"/>
          <w:color w:val="000000"/>
          <w:sz w:val="24"/>
          <w:szCs w:val="24"/>
        </w:rPr>
      </w:pPr>
      <w:r>
        <w:rPr>
          <w:rFonts w:hAnsi="Times New Roman" w:cs="Times New Roman"/>
          <w:color w:val="000000"/>
          <w:sz w:val="24"/>
          <w:szCs w:val="24"/>
        </w:rPr>
        <w:t>5.7. Учреждение применяет следующую детализацию КОСГУ в 24—26 разрядах номеров счетов для учета поступления и выбытия материальных запасов:</w:t>
      </w:r>
    </w:p>
    <w:p w14:paraId="0AC615EF">
      <w:pPr>
        <w:numPr>
          <w:ilvl w:val="0"/>
          <w:numId w:val="2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341 Увеличение стоимости лекарственных препаратов и материалов, применяемых в медицинских целях;</w:t>
      </w:r>
    </w:p>
    <w:p w14:paraId="07F2E26A">
      <w:pPr>
        <w:numPr>
          <w:ilvl w:val="0"/>
          <w:numId w:val="2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342 Увеличение стоимости продуктов питания;</w:t>
      </w:r>
    </w:p>
    <w:p w14:paraId="65792E1E">
      <w:pPr>
        <w:numPr>
          <w:ilvl w:val="0"/>
          <w:numId w:val="2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343 Увеличение стоимости горюче-смазочных материалов;</w:t>
      </w:r>
    </w:p>
    <w:p w14:paraId="2C676C0A">
      <w:pPr>
        <w:numPr>
          <w:ilvl w:val="0"/>
          <w:numId w:val="2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344 Увеличение стоимости строительных материалов;</w:t>
      </w:r>
    </w:p>
    <w:p w14:paraId="133A65BC">
      <w:pPr>
        <w:numPr>
          <w:ilvl w:val="0"/>
          <w:numId w:val="2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345 Увеличение стоимости мягкого инвентаря;</w:t>
      </w:r>
    </w:p>
    <w:p w14:paraId="28FD165F">
      <w:pPr>
        <w:numPr>
          <w:ilvl w:val="0"/>
          <w:numId w:val="2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346 Увеличение стоимости прочих материальных запасов;</w:t>
      </w:r>
    </w:p>
    <w:p w14:paraId="7F5C0F70">
      <w:pPr>
        <w:numPr>
          <w:ilvl w:val="0"/>
          <w:numId w:val="2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347 Увеличение стоимости материальных запасов для целей капитальных вложений;</w:t>
      </w:r>
    </w:p>
    <w:p w14:paraId="1C5932CE">
      <w:pPr>
        <w:numPr>
          <w:ilvl w:val="0"/>
          <w:numId w:val="2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349 Увеличение стоимости прочих материальных запасов однократного применения.</w:t>
      </w:r>
    </w:p>
    <w:p w14:paraId="4BC0A43E">
      <w:pPr>
        <w:numPr>
          <w:ilvl w:val="0"/>
          <w:numId w:val="2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441 Уменьшение стоимости лекарственных препаратов и материалов, применяемых в медицинских целях;</w:t>
      </w:r>
    </w:p>
    <w:p w14:paraId="3C0CC023">
      <w:pPr>
        <w:numPr>
          <w:ilvl w:val="0"/>
          <w:numId w:val="2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442 Уменьшение стоимости продуктов питания;</w:t>
      </w:r>
    </w:p>
    <w:p w14:paraId="620B643D">
      <w:pPr>
        <w:numPr>
          <w:ilvl w:val="0"/>
          <w:numId w:val="2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443 Уменьшение стоимости горюче-смазочных материалов;</w:t>
      </w:r>
    </w:p>
    <w:p w14:paraId="2705F6FD">
      <w:pPr>
        <w:numPr>
          <w:ilvl w:val="0"/>
          <w:numId w:val="2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444 Уменьшение стоимости строительных материалов;</w:t>
      </w:r>
    </w:p>
    <w:p w14:paraId="14978017">
      <w:pPr>
        <w:numPr>
          <w:ilvl w:val="0"/>
          <w:numId w:val="2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445 Уменьшение стоимости мягкого инвентаря;</w:t>
      </w:r>
    </w:p>
    <w:p w14:paraId="46CF5277">
      <w:pPr>
        <w:numPr>
          <w:ilvl w:val="0"/>
          <w:numId w:val="2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446 Уменьшение стоимости прочих оборотных ценностей (материалов);</w:t>
      </w:r>
    </w:p>
    <w:p w14:paraId="391A5F6E">
      <w:pPr>
        <w:numPr>
          <w:ilvl w:val="0"/>
          <w:numId w:val="2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447 Уменьшение стоимости материальных запасов для целей капитальных вложений;</w:t>
      </w:r>
    </w:p>
    <w:p w14:paraId="28BB0CD8">
      <w:pPr>
        <w:numPr>
          <w:ilvl w:val="0"/>
          <w:numId w:val="29"/>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449 Уменьшение стоимости прочих материальных запасов однократного применения.</w:t>
      </w:r>
    </w:p>
    <w:p w14:paraId="56AD736A">
      <w:pPr>
        <w:spacing w:line="240" w:lineRule="auto"/>
        <w:rPr>
          <w:rFonts w:hAnsi="Times New Roman" w:cs="Times New Roman"/>
          <w:color w:val="000000"/>
          <w:sz w:val="24"/>
          <w:szCs w:val="24"/>
        </w:rPr>
      </w:pPr>
      <w:r>
        <w:rPr>
          <w:rFonts w:hAnsi="Times New Roman" w:cs="Times New Roman"/>
          <w:b/>
          <w:bCs/>
          <w:color w:val="000000"/>
          <w:sz w:val="24"/>
          <w:szCs w:val="24"/>
        </w:rPr>
        <w:t>5.8. Установлены следующие особенности учета материальных запасов:</w:t>
      </w:r>
    </w:p>
    <w:p w14:paraId="22DDC21D">
      <w:pPr>
        <w:spacing w:line="240" w:lineRule="auto"/>
        <w:rPr>
          <w:rFonts w:hAnsi="Times New Roman" w:cs="Times New Roman"/>
          <w:color w:val="000000"/>
          <w:sz w:val="24"/>
          <w:szCs w:val="24"/>
        </w:rPr>
      </w:pPr>
      <w:r>
        <w:rPr>
          <w:rFonts w:hAnsi="Times New Roman" w:cs="Times New Roman"/>
          <w:b/>
          <w:bCs/>
          <w:color w:val="000000"/>
          <w:sz w:val="24"/>
          <w:szCs w:val="24"/>
        </w:rPr>
        <w:t>5.8.1. Особенности учета транспортно-заготовительных расходов.</w:t>
      </w:r>
    </w:p>
    <w:p w14:paraId="2BCDC722">
      <w:pPr>
        <w:spacing w:line="240" w:lineRule="auto"/>
        <w:rPr>
          <w:rFonts w:hAnsi="Times New Roman" w:cs="Times New Roman"/>
          <w:color w:val="000000"/>
          <w:sz w:val="24"/>
          <w:szCs w:val="24"/>
        </w:rPr>
      </w:pPr>
      <w:r>
        <w:rPr>
          <w:rFonts w:hAnsi="Times New Roman" w:cs="Times New Roman"/>
          <w:color w:val="000000"/>
          <w:sz w:val="24"/>
          <w:szCs w:val="24"/>
        </w:rPr>
        <w:t>В фактическую стоимость материальных запасов включаются транспортно-заготовительные расходы (ТЗР), в том числе:</w:t>
      </w:r>
    </w:p>
    <w:p w14:paraId="3B8BDEC3">
      <w:pPr>
        <w:numPr>
          <w:ilvl w:val="0"/>
          <w:numId w:val="3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расходы, связанные с погрузочно-разгрузочными работами;</w:t>
      </w:r>
    </w:p>
    <w:p w14:paraId="20DE32E2">
      <w:pPr>
        <w:numPr>
          <w:ilvl w:val="0"/>
          <w:numId w:val="3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расходы на транспортировку;</w:t>
      </w:r>
    </w:p>
    <w:p w14:paraId="3D5FAC26">
      <w:pPr>
        <w:numPr>
          <w:ilvl w:val="0"/>
          <w:numId w:val="3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командировочные расходы, связанные с заготовкой и доставкой материальных запасов;</w:t>
      </w:r>
    </w:p>
    <w:p w14:paraId="0BBDF186">
      <w:pPr>
        <w:numPr>
          <w:ilvl w:val="0"/>
          <w:numId w:val="3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страхование доставки;</w:t>
      </w:r>
    </w:p>
    <w:p w14:paraId="091CC461">
      <w:pPr>
        <w:numPr>
          <w:ilvl w:val="0"/>
          <w:numId w:val="3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недостача и порча в пределах норм естественной убыли;</w:t>
      </w:r>
    </w:p>
    <w:p w14:paraId="0CDFD9F9">
      <w:pPr>
        <w:numPr>
          <w:ilvl w:val="0"/>
          <w:numId w:val="30"/>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наценки, надбавки, комиссионные вознаграждения посредникам.</w:t>
      </w:r>
    </w:p>
    <w:p w14:paraId="2518A864">
      <w:pPr>
        <w:spacing w:line="240" w:lineRule="auto"/>
        <w:rPr>
          <w:rFonts w:hAnsi="Times New Roman" w:cs="Times New Roman"/>
          <w:color w:val="000000"/>
          <w:sz w:val="24"/>
          <w:szCs w:val="24"/>
        </w:rPr>
      </w:pPr>
      <w:r>
        <w:rPr>
          <w:rFonts w:hAnsi="Times New Roman" w:cs="Times New Roman"/>
          <w:color w:val="000000"/>
          <w:sz w:val="24"/>
          <w:szCs w:val="24"/>
        </w:rPr>
        <w:t>При доставке разнородных материальных запасов одним транспортным средством ТЗР распределяются пропорционально количеству материальных запасов, их весу или объему в зависимости от ассортимента полученных активов.</w:t>
      </w:r>
    </w:p>
    <w:p w14:paraId="20B3BE37">
      <w:pPr>
        <w:spacing w:line="240" w:lineRule="auto"/>
        <w:rPr>
          <w:rFonts w:hAnsi="Times New Roman" w:cs="Times New Roman"/>
          <w:color w:val="000000"/>
          <w:sz w:val="24"/>
          <w:szCs w:val="24"/>
        </w:rPr>
      </w:pPr>
      <w:r>
        <w:rPr>
          <w:rFonts w:hAnsi="Times New Roman" w:cs="Times New Roman"/>
          <w:color w:val="000000"/>
          <w:sz w:val="24"/>
          <w:szCs w:val="24"/>
        </w:rPr>
        <w:t>Если в одну поставку включено несколько разнородных групп материальных запасов, то сначала ТЗР распределяются между этими группами.</w:t>
      </w:r>
    </w:p>
    <w:p w14:paraId="1D55D3BC">
      <w:pPr>
        <w:spacing w:line="240" w:lineRule="auto"/>
        <w:rPr>
          <w:rFonts w:hAnsi="Times New Roman" w:cs="Times New Roman"/>
          <w:color w:val="000000"/>
          <w:sz w:val="24"/>
          <w:szCs w:val="24"/>
        </w:rPr>
      </w:pPr>
      <w:r>
        <w:rPr>
          <w:rFonts w:hAnsi="Times New Roman" w:cs="Times New Roman"/>
          <w:color w:val="000000"/>
          <w:sz w:val="24"/>
          <w:szCs w:val="24"/>
        </w:rPr>
        <w:t>5.8.2. Особенности приобретения и учета горюче-смазочных материалов (ГСМ).</w:t>
      </w:r>
    </w:p>
    <w:p w14:paraId="6FE10971">
      <w:pPr>
        <w:spacing w:line="240" w:lineRule="auto"/>
        <w:rPr>
          <w:rFonts w:hAnsi="Times New Roman" w:cs="Times New Roman"/>
          <w:color w:val="000000"/>
          <w:sz w:val="24"/>
          <w:szCs w:val="24"/>
        </w:rPr>
      </w:pPr>
      <w:r>
        <w:rPr>
          <w:rFonts w:hAnsi="Times New Roman" w:cs="Times New Roman"/>
          <w:color w:val="000000"/>
          <w:sz w:val="24"/>
          <w:szCs w:val="24"/>
        </w:rPr>
        <w:t>Снабжение автомобильного транспорта ГСМ проводится по топливным картам. Исключение составляют выезды в командировку на автомобиле учреждения, когда по пути следования отсутствуют АЗС с оплатой по топливным картам.</w:t>
      </w:r>
    </w:p>
    <w:p w14:paraId="7FAEE054">
      <w:pPr>
        <w:spacing w:line="240" w:lineRule="auto"/>
        <w:rPr>
          <w:rFonts w:hAnsi="Times New Roman" w:cs="Times New Roman"/>
          <w:color w:val="000000"/>
          <w:sz w:val="24"/>
          <w:szCs w:val="24"/>
        </w:rPr>
      </w:pPr>
      <w:r>
        <w:rPr>
          <w:rFonts w:hAnsi="Times New Roman" w:cs="Times New Roman"/>
          <w:color w:val="000000"/>
          <w:sz w:val="24"/>
          <w:szCs w:val="24"/>
        </w:rPr>
        <w:t>Нормы на расходы горюче-смазочных материалов (ГСМ) разрабатываются специализированной организацией и утверждаются приказом руководителя учреждения. Ежегодно приказом руководителя утверждаются период применения зимней надбавки к нормам расхода ГСМ и ее величина.</w:t>
      </w:r>
    </w:p>
    <w:p w14:paraId="1720BB81">
      <w:pPr>
        <w:spacing w:line="240" w:lineRule="auto"/>
        <w:rPr>
          <w:rFonts w:hAnsi="Times New Roman" w:cs="Times New Roman"/>
          <w:color w:val="000000"/>
          <w:sz w:val="24"/>
          <w:szCs w:val="24"/>
        </w:rPr>
      </w:pPr>
      <w:r>
        <w:rPr>
          <w:rFonts w:hAnsi="Times New Roman" w:cs="Times New Roman"/>
          <w:color w:val="000000"/>
          <w:sz w:val="24"/>
          <w:szCs w:val="24"/>
        </w:rPr>
        <w:t>ГСМ списываются на расходы по фактическому расходу на основании путевых листов, но не выше норм, установленных приказом руководителя учреждения.</w:t>
      </w:r>
    </w:p>
    <w:p w14:paraId="487F5C38">
      <w:pPr>
        <w:spacing w:line="240" w:lineRule="auto"/>
        <w:rPr>
          <w:rFonts w:hAnsi="Times New Roman" w:cs="Times New Roman"/>
          <w:color w:val="000000"/>
          <w:sz w:val="24"/>
          <w:szCs w:val="24"/>
        </w:rPr>
      </w:pPr>
      <w:r>
        <w:rPr>
          <w:rFonts w:hAnsi="Times New Roman" w:cs="Times New Roman"/>
          <w:b/>
          <w:bCs/>
          <w:color w:val="000000"/>
          <w:sz w:val="24"/>
          <w:szCs w:val="24"/>
        </w:rPr>
        <w:t>5.8.3. Особенности использования и учета мягкого инвентаря.</w:t>
      </w:r>
    </w:p>
    <w:p w14:paraId="7F175814">
      <w:pPr>
        <w:spacing w:line="240" w:lineRule="auto"/>
        <w:rPr>
          <w:rFonts w:hAnsi="Times New Roman" w:cs="Times New Roman"/>
          <w:color w:val="000000"/>
          <w:sz w:val="24"/>
          <w:szCs w:val="24"/>
        </w:rPr>
      </w:pPr>
      <w:r>
        <w:rPr>
          <w:rFonts w:hAnsi="Times New Roman" w:cs="Times New Roman"/>
          <w:color w:val="000000"/>
          <w:sz w:val="24"/>
          <w:szCs w:val="24"/>
        </w:rPr>
        <w:t>Учитывается мягкий инвентарь по наименованиям, сортам и количеству — для каждого наименования объекта учета используется отдельная страница. Бухгалтерия учреждения систематически контролирует поступление и расходование мягкого инвентаря, находящегося на складе и в местах хранения, а также сверяет данные учета инвентаря с записями, которые ведутся на складе. Результаты таких проверок фиксируются соответствующими записями на отдельной странице в конце книги учета материальных ценностей.</w:t>
      </w:r>
    </w:p>
    <w:p w14:paraId="2326F391">
      <w:pPr>
        <w:spacing w:line="240" w:lineRule="auto"/>
        <w:rPr>
          <w:rFonts w:hAnsi="Times New Roman" w:cs="Times New Roman"/>
          <w:color w:val="000000"/>
          <w:sz w:val="24"/>
          <w:szCs w:val="24"/>
        </w:rPr>
      </w:pPr>
      <w:r>
        <w:rPr>
          <w:rFonts w:hAnsi="Times New Roman" w:cs="Times New Roman"/>
          <w:color w:val="000000"/>
          <w:sz w:val="24"/>
          <w:szCs w:val="24"/>
        </w:rPr>
        <w:t>Все предметы мягкого инвентаря при поступлении на склад маркируются. Маркировка проводится штампом несмываемой краской без порчи внешнего вида предмета. На штампе указывается наименование учреждения. Маркировку производит сотрудник склада в присутствии заместителя руководителя по административно-хозяйственной работе и бухгалтера по учету нефинансовых активов.</w:t>
      </w:r>
    </w:p>
    <w:p w14:paraId="7DAAD0AF">
      <w:pPr>
        <w:spacing w:line="240" w:lineRule="auto"/>
        <w:rPr>
          <w:rFonts w:hAnsi="Times New Roman" w:cs="Times New Roman"/>
          <w:color w:val="000000"/>
          <w:sz w:val="24"/>
          <w:szCs w:val="24"/>
        </w:rPr>
      </w:pPr>
      <w:r>
        <w:rPr>
          <w:rFonts w:hAnsi="Times New Roman" w:cs="Times New Roman"/>
          <w:color w:val="000000"/>
          <w:sz w:val="24"/>
          <w:szCs w:val="24"/>
        </w:rPr>
        <w:t>При выдаче мягкого инвентаря в эксплуатацию проводится дополнительная маркировка с указанием года и месяца выдачи со склада.</w:t>
      </w:r>
    </w:p>
    <w:p w14:paraId="1C5EF56B">
      <w:pPr>
        <w:spacing w:line="240" w:lineRule="auto"/>
        <w:rPr>
          <w:rFonts w:hAnsi="Times New Roman" w:cs="Times New Roman"/>
          <w:color w:val="000000"/>
          <w:sz w:val="24"/>
          <w:szCs w:val="24"/>
        </w:rPr>
      </w:pPr>
      <w:r>
        <w:rPr>
          <w:rFonts w:hAnsi="Times New Roman" w:cs="Times New Roman"/>
          <w:color w:val="000000"/>
          <w:sz w:val="24"/>
          <w:szCs w:val="24"/>
        </w:rPr>
        <w:t>Маркировочные штампы хранит заместитель руководителя  по административно-хозяйственной работе.</w:t>
      </w:r>
    </w:p>
    <w:p w14:paraId="089FBD3D">
      <w:pPr>
        <w:spacing w:line="240" w:lineRule="auto"/>
        <w:rPr>
          <w:rFonts w:hAnsi="Times New Roman" w:cs="Times New Roman"/>
          <w:color w:val="000000"/>
          <w:sz w:val="24"/>
          <w:szCs w:val="24"/>
        </w:rPr>
      </w:pPr>
      <w:r>
        <w:rPr>
          <w:rFonts w:hAnsi="Times New Roman" w:cs="Times New Roman"/>
          <w:color w:val="000000"/>
          <w:sz w:val="24"/>
          <w:szCs w:val="24"/>
        </w:rPr>
        <w:t>Заместитель руководителя по административно-хозяйственной работе организует надлежащий уход, хранение, своевременную химическую чистку, стирку, дезинфекцию, обезвреживание, сушку, а также ремонт и замену предметов мягкого инвентаря.</w:t>
      </w:r>
    </w:p>
    <w:p w14:paraId="40B843E2">
      <w:pPr>
        <w:spacing w:line="240" w:lineRule="auto"/>
        <w:rPr>
          <w:rFonts w:hAnsi="Times New Roman" w:cs="Times New Roman"/>
          <w:color w:val="000000"/>
          <w:sz w:val="24"/>
          <w:szCs w:val="24"/>
        </w:rPr>
      </w:pPr>
      <w:r>
        <w:rPr>
          <w:rFonts w:hAnsi="Times New Roman" w:cs="Times New Roman"/>
          <w:color w:val="000000"/>
          <w:sz w:val="24"/>
          <w:szCs w:val="24"/>
        </w:rPr>
        <w:t>Предметы мягкого инвентаря списываются при полной их изношенности по решению комиссии по поступлению и выбытию активов.</w:t>
      </w:r>
    </w:p>
    <w:p w14:paraId="082F9DED">
      <w:pPr>
        <w:spacing w:line="240" w:lineRule="auto"/>
        <w:rPr>
          <w:rFonts w:hAnsi="Times New Roman" w:cs="Times New Roman"/>
          <w:color w:val="000000"/>
          <w:sz w:val="24"/>
          <w:szCs w:val="24"/>
        </w:rPr>
      </w:pPr>
      <w:r>
        <w:rPr>
          <w:rFonts w:hAnsi="Times New Roman" w:cs="Times New Roman"/>
          <w:color w:val="000000"/>
          <w:sz w:val="24"/>
          <w:szCs w:val="24"/>
        </w:rPr>
        <w:t>В присутствии комиссии списанный мягкий инвентарь уничтожается или превращается в ветошь (разрезается, рвется и т. д.). Пригодная для использования в хозяйственных целях ветошь принимается на склад с указанием веса, затем используется для уборки помещений.</w:t>
      </w:r>
    </w:p>
    <w:p w14:paraId="05D8C209">
      <w:pPr>
        <w:spacing w:line="240" w:lineRule="auto"/>
        <w:rPr>
          <w:rFonts w:hAnsi="Times New Roman" w:cs="Times New Roman"/>
          <w:color w:val="000000"/>
          <w:sz w:val="24"/>
          <w:szCs w:val="24"/>
        </w:rPr>
      </w:pPr>
      <w:r>
        <w:rPr>
          <w:rFonts w:hAnsi="Times New Roman" w:cs="Times New Roman"/>
          <w:b/>
          <w:bCs/>
          <w:color w:val="000000"/>
          <w:sz w:val="24"/>
          <w:szCs w:val="24"/>
        </w:rPr>
        <w:t>5.8.4. Особенности использования и учета хозяйственного инвентаря.</w:t>
      </w:r>
    </w:p>
    <w:p w14:paraId="6EADE29B">
      <w:pPr>
        <w:spacing w:line="240" w:lineRule="auto"/>
        <w:rPr>
          <w:rFonts w:hAnsi="Times New Roman" w:cs="Times New Roman"/>
          <w:color w:val="000000"/>
          <w:sz w:val="24"/>
          <w:szCs w:val="24"/>
        </w:rPr>
      </w:pPr>
      <w:r>
        <w:rPr>
          <w:rFonts w:hAnsi="Times New Roman" w:cs="Times New Roman"/>
          <w:color w:val="000000"/>
          <w:sz w:val="24"/>
          <w:szCs w:val="24"/>
        </w:rPr>
        <w:t>Решение об отнесении имущества к хозяйственному инвентарю в составе материальных запасов принимает комиссия учреждения по поступлению и выбытию активов с учетом правил, установленных пунктом 2.1 раздела V настоящей учетной политики. При этом, независимо от срока полезного использования, учитываются как материальные запасы:</w:t>
      </w:r>
    </w:p>
    <w:p w14:paraId="37E6BCD3">
      <w:pPr>
        <w:spacing w:line="240" w:lineRule="auto"/>
        <w:rPr>
          <w:rFonts w:hAnsi="Times New Roman" w:cs="Times New Roman"/>
          <w:color w:val="000000"/>
          <w:sz w:val="24"/>
          <w:szCs w:val="24"/>
        </w:rPr>
      </w:pPr>
      <w:r>
        <w:rPr>
          <w:rFonts w:hAnsi="Times New Roman" w:cs="Times New Roman"/>
          <w:color w:val="000000"/>
          <w:sz w:val="24"/>
          <w:szCs w:val="24"/>
        </w:rPr>
        <w:t>— швабры, грабли, метлы, веники;</w:t>
      </w:r>
      <w:r>
        <w:br w:type="textWrapping"/>
      </w:r>
      <w:r>
        <w:rPr>
          <w:rFonts w:hAnsi="Times New Roman" w:cs="Times New Roman"/>
          <w:color w:val="000000"/>
          <w:sz w:val="24"/>
          <w:szCs w:val="24"/>
        </w:rPr>
        <w:t>— инструменты: слесарно-монтажный, столярно-плотницкий, строительный;</w:t>
      </w:r>
      <w:r>
        <w:br w:type="textWrapping"/>
      </w:r>
      <w:r>
        <w:rPr>
          <w:rFonts w:hAnsi="Times New Roman" w:cs="Times New Roman"/>
          <w:color w:val="000000"/>
          <w:sz w:val="24"/>
          <w:szCs w:val="24"/>
        </w:rPr>
        <w:t>— канцтовары, за исключением калькуляторов.</w:t>
      </w:r>
    </w:p>
    <w:p w14:paraId="0FA0937A">
      <w:pPr>
        <w:spacing w:line="240" w:lineRule="auto"/>
        <w:rPr>
          <w:rFonts w:hAnsi="Times New Roman" w:cs="Times New Roman"/>
          <w:color w:val="000000"/>
          <w:sz w:val="24"/>
          <w:szCs w:val="24"/>
        </w:rPr>
      </w:pPr>
      <w:r>
        <w:rPr>
          <w:rFonts w:hAnsi="Times New Roman" w:cs="Times New Roman"/>
          <w:color w:val="000000"/>
          <w:sz w:val="24"/>
          <w:szCs w:val="24"/>
        </w:rPr>
        <w:t>Выдача хозяйственного инвентаря (материалов) на нужды учреждения производится исходя из месячной потребности в нем. Нормы потребности в хозяйственных материалах определяет комиссия учреждения по поступлению и выбытию активов ежегодно на основании сложившихся фактических данных за прошлый год и утверждает отдельным приказом руководителя.</w:t>
      </w:r>
    </w:p>
    <w:p w14:paraId="2A87C3DA">
      <w:pPr>
        <w:spacing w:line="240" w:lineRule="auto"/>
        <w:rPr>
          <w:rFonts w:hAnsi="Times New Roman" w:cs="Times New Roman"/>
          <w:color w:val="000000"/>
          <w:sz w:val="24"/>
          <w:szCs w:val="24"/>
        </w:rPr>
      </w:pPr>
      <w:r>
        <w:rPr>
          <w:rFonts w:hAnsi="Times New Roman" w:cs="Times New Roman"/>
          <w:b/>
          <w:bCs/>
          <w:color w:val="000000"/>
          <w:sz w:val="24"/>
          <w:szCs w:val="24"/>
        </w:rPr>
        <w:t>5.8.5. Особенности учета карт тахографа для водителя.</w:t>
      </w:r>
    </w:p>
    <w:p w14:paraId="15F6E2C6">
      <w:pPr>
        <w:spacing w:line="240" w:lineRule="auto"/>
        <w:rPr>
          <w:rFonts w:hAnsi="Times New Roman" w:cs="Times New Roman"/>
          <w:color w:val="000000"/>
          <w:sz w:val="24"/>
          <w:szCs w:val="24"/>
        </w:rPr>
      </w:pPr>
      <w:r>
        <w:rPr>
          <w:rFonts w:hAnsi="Times New Roman" w:cs="Times New Roman"/>
          <w:color w:val="000000"/>
          <w:sz w:val="24"/>
          <w:szCs w:val="24"/>
        </w:rPr>
        <w:t>Карты тахографа не признаются активом учреждения, поскольку учреждение не вправе без согласия водителя изъять карту при его увольнении, уничтожить ее или аннулировать. В целях управленческого учета и контроля за сохранностью карты учитываются на дополнительном забалансовом счете 50К «Карты водителей для тахографа».</w:t>
      </w:r>
    </w:p>
    <w:p w14:paraId="10BC7768">
      <w:pPr>
        <w:spacing w:line="240" w:lineRule="auto"/>
        <w:rPr>
          <w:rFonts w:hAnsi="Times New Roman" w:cs="Times New Roman"/>
          <w:color w:val="000000"/>
          <w:sz w:val="24"/>
          <w:szCs w:val="24"/>
        </w:rPr>
      </w:pPr>
      <w:r>
        <w:rPr>
          <w:rFonts w:hAnsi="Times New Roman" w:cs="Times New Roman"/>
          <w:color w:val="000000"/>
          <w:sz w:val="24"/>
          <w:szCs w:val="24"/>
        </w:rPr>
        <w:t>Основание: пункт 19 СГС «Единый план счетов» № 121н.</w:t>
      </w:r>
    </w:p>
    <w:p w14:paraId="5ECEB6E3">
      <w:pPr>
        <w:spacing w:line="240" w:lineRule="auto"/>
        <w:rPr>
          <w:rFonts w:hAnsi="Times New Roman" w:cs="Times New Roman"/>
          <w:color w:val="000000"/>
          <w:sz w:val="24"/>
          <w:szCs w:val="24"/>
        </w:rPr>
      </w:pPr>
      <w:r>
        <w:rPr>
          <w:rFonts w:hAnsi="Times New Roman" w:cs="Times New Roman"/>
          <w:b/>
          <w:bCs/>
          <w:color w:val="000000"/>
          <w:sz w:val="24"/>
          <w:szCs w:val="24"/>
        </w:rPr>
        <w:t>5.8.6. Особенности списания материальных запасов:</w:t>
      </w:r>
    </w:p>
    <w:p w14:paraId="0E84B086">
      <w:pPr>
        <w:spacing w:line="240" w:lineRule="auto"/>
        <w:rPr>
          <w:rFonts w:hAnsi="Times New Roman" w:cs="Times New Roman"/>
          <w:color w:val="000000"/>
          <w:sz w:val="24"/>
          <w:szCs w:val="24"/>
        </w:rPr>
      </w:pPr>
      <w:r>
        <w:rPr>
          <w:rFonts w:hAnsi="Times New Roman" w:cs="Times New Roman"/>
          <w:color w:val="000000"/>
          <w:sz w:val="24"/>
          <w:szCs w:val="24"/>
        </w:rPr>
        <w:t>Списание материальных запасов производится по средней фактической стоимости.</w:t>
      </w:r>
      <w:r>
        <w:br w:type="textWrapping"/>
      </w:r>
      <w:r>
        <w:rPr>
          <w:rFonts w:hAnsi="Times New Roman" w:cs="Times New Roman"/>
          <w:color w:val="000000"/>
          <w:sz w:val="24"/>
          <w:szCs w:val="24"/>
        </w:rPr>
        <w:t>Основание: пункт 42 СГС «Запасы».</w:t>
      </w:r>
    </w:p>
    <w:p w14:paraId="0D242CEE">
      <w:pPr>
        <w:spacing w:line="240" w:lineRule="auto"/>
        <w:rPr>
          <w:rFonts w:hAnsi="Times New Roman" w:cs="Times New Roman"/>
          <w:color w:val="000000"/>
          <w:sz w:val="24"/>
          <w:szCs w:val="24"/>
        </w:rPr>
      </w:pPr>
      <w:r>
        <w:rPr>
          <w:rFonts w:hAnsi="Times New Roman" w:cs="Times New Roman"/>
          <w:color w:val="000000"/>
          <w:sz w:val="24"/>
          <w:szCs w:val="24"/>
        </w:rPr>
        <w:t>При перевозке материальных запасов к покупателю автотранспортом, собственным или привлеченным, учреждение дополнительно оформляет товарно-транспортную накладную, форма которой утверждена в приложении к ученой политике учреждения.</w:t>
      </w:r>
    </w:p>
    <w:p w14:paraId="757CE111">
      <w:pPr>
        <w:spacing w:line="240" w:lineRule="auto"/>
        <w:rPr>
          <w:rFonts w:hAnsi="Times New Roman" w:cs="Times New Roman"/>
          <w:color w:val="000000"/>
          <w:sz w:val="24"/>
          <w:szCs w:val="24"/>
        </w:rPr>
      </w:pPr>
      <w:r>
        <w:rPr>
          <w:rFonts w:hAnsi="Times New Roman" w:cs="Times New Roman"/>
          <w:color w:val="000000"/>
          <w:sz w:val="24"/>
          <w:szCs w:val="24"/>
        </w:rPr>
        <w:t>Факт вручения подарков оформляет ответственный сотрудник в акте, форма которого утверждена в приложении к учетной политике учреждения.</w:t>
      </w:r>
    </w:p>
    <w:p w14:paraId="4BAD79C8">
      <w:pPr>
        <w:spacing w:line="240" w:lineRule="auto"/>
        <w:rPr>
          <w:rFonts w:hAnsi="Times New Roman" w:cs="Times New Roman"/>
          <w:color w:val="000000"/>
          <w:sz w:val="24"/>
          <w:szCs w:val="24"/>
        </w:rPr>
      </w:pPr>
      <w:r>
        <w:rPr>
          <w:rFonts w:hAnsi="Times New Roman" w:cs="Times New Roman"/>
          <w:b/>
          <w:bCs/>
          <w:color w:val="000000"/>
          <w:sz w:val="24"/>
          <w:szCs w:val="24"/>
        </w:rPr>
        <w:t>6. Учет на забалансовых счетах</w:t>
      </w:r>
    </w:p>
    <w:p w14:paraId="7876BC4E">
      <w:pPr>
        <w:spacing w:line="240" w:lineRule="auto"/>
        <w:rPr>
          <w:rFonts w:hAnsi="Times New Roman" w:cs="Times New Roman"/>
          <w:color w:val="000000"/>
          <w:sz w:val="24"/>
          <w:szCs w:val="24"/>
        </w:rPr>
      </w:pPr>
      <w:r>
        <w:rPr>
          <w:rFonts w:hAnsi="Times New Roman" w:cs="Times New Roman"/>
          <w:b/>
          <w:bCs/>
          <w:color w:val="000000"/>
          <w:sz w:val="24"/>
          <w:szCs w:val="24"/>
        </w:rPr>
        <w:t>6.1. Забалансовый счет 01 «Имущество, полученное в пользование»</w:t>
      </w:r>
    </w:p>
    <w:p w14:paraId="72DD73DD">
      <w:pPr>
        <w:spacing w:line="240" w:lineRule="auto"/>
        <w:rPr>
          <w:rFonts w:hAnsi="Times New Roman" w:cs="Times New Roman"/>
          <w:color w:val="000000"/>
          <w:sz w:val="24"/>
          <w:szCs w:val="24"/>
        </w:rPr>
      </w:pPr>
      <w:r>
        <w:rPr>
          <w:rFonts w:hAnsi="Times New Roman" w:cs="Times New Roman"/>
          <w:color w:val="000000"/>
          <w:sz w:val="24"/>
          <w:szCs w:val="24"/>
        </w:rPr>
        <w:t>Объекты имущества, полученные учреждением от балансодержателя (собственника) имущества, учитывается на забалансовом счете на основании акта приема-передачи (иного документа, подтверждающего получение имущества и (или) права его пользования) по стоимости, указанной (определенной) передающей стороной (собственником).</w:t>
      </w:r>
    </w:p>
    <w:p w14:paraId="3449BC64">
      <w:pPr>
        <w:spacing w:line="240" w:lineRule="auto"/>
        <w:rPr>
          <w:rFonts w:hAnsi="Times New Roman" w:cs="Times New Roman"/>
          <w:color w:val="000000"/>
          <w:sz w:val="24"/>
          <w:szCs w:val="24"/>
        </w:rPr>
      </w:pPr>
      <w:r>
        <w:rPr>
          <w:rFonts w:hAnsi="Times New Roman" w:cs="Times New Roman"/>
          <w:b/>
          <w:bCs/>
          <w:color w:val="000000"/>
          <w:sz w:val="24"/>
          <w:szCs w:val="24"/>
        </w:rPr>
        <w:t>6.2. Забалансовый счет 07 «Награды, призы, кубки и ценные подарки, сувениры»</w:t>
      </w:r>
    </w:p>
    <w:p w14:paraId="1FD568B0">
      <w:pPr>
        <w:spacing w:line="240" w:lineRule="auto"/>
        <w:rPr>
          <w:rFonts w:hAnsi="Times New Roman" w:cs="Times New Roman"/>
          <w:color w:val="000000"/>
          <w:sz w:val="24"/>
          <w:szCs w:val="24"/>
        </w:rPr>
      </w:pPr>
      <w:r>
        <w:rPr>
          <w:rFonts w:hAnsi="Times New Roman" w:cs="Times New Roman"/>
          <w:color w:val="000000"/>
          <w:sz w:val="24"/>
          <w:szCs w:val="24"/>
        </w:rPr>
        <w:t>Ценные подарки (сувениры) учитываются по стоимости их приобретения. Награды, призы, кубки в том числе переходящие, учитываются на счете в условной оценке: один предмет, 1 руб.</w:t>
      </w:r>
    </w:p>
    <w:p w14:paraId="09925201">
      <w:pPr>
        <w:spacing w:line="240" w:lineRule="auto"/>
        <w:rPr>
          <w:rFonts w:hAnsi="Times New Roman" w:cs="Times New Roman"/>
          <w:color w:val="000000"/>
          <w:sz w:val="24"/>
          <w:szCs w:val="24"/>
        </w:rPr>
      </w:pPr>
      <w:r>
        <w:rPr>
          <w:rFonts w:hAnsi="Times New Roman" w:cs="Times New Roman"/>
          <w:b/>
          <w:bCs/>
          <w:color w:val="000000"/>
          <w:sz w:val="24"/>
          <w:szCs w:val="24"/>
        </w:rPr>
        <w:t>6.3. Забалансовый счет 09 «Запасные части к транспортным средствам, выданные взамен изношенных»</w:t>
      </w:r>
    </w:p>
    <w:p w14:paraId="768DC180">
      <w:pPr>
        <w:spacing w:line="240" w:lineRule="auto"/>
        <w:rPr>
          <w:rFonts w:hAnsi="Times New Roman" w:cs="Times New Roman"/>
          <w:color w:val="000000"/>
          <w:sz w:val="24"/>
          <w:szCs w:val="24"/>
        </w:rPr>
      </w:pPr>
      <w:r>
        <w:rPr>
          <w:rFonts w:hAnsi="Times New Roman" w:cs="Times New Roman"/>
          <w:color w:val="000000"/>
          <w:sz w:val="24"/>
          <w:szCs w:val="24"/>
        </w:rPr>
        <w:t>Учет на забалансовом счете 09 «Запасные части к транспортным средствам, выданные взамен изношенных» ведется в условной оценке: один объект, 1 руб. Учету подлежат запасные части и другие комплектующие, которые могут быть использованы на других автомобилях (нетипизированные запчасти и комплектующие), такие  как:</w:t>
      </w:r>
    </w:p>
    <w:p w14:paraId="4C564AA1">
      <w:pPr>
        <w:numPr>
          <w:ilvl w:val="0"/>
          <w:numId w:val="3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автомобильные шины — четыре единицы на один легковой автомобиль;</w:t>
      </w:r>
    </w:p>
    <w:p w14:paraId="022F775B">
      <w:pPr>
        <w:numPr>
          <w:ilvl w:val="0"/>
          <w:numId w:val="3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колесные диски — четыре единицы на один легковой автомобиль;</w:t>
      </w:r>
    </w:p>
    <w:p w14:paraId="78200C73">
      <w:pPr>
        <w:numPr>
          <w:ilvl w:val="0"/>
          <w:numId w:val="3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аккумуляторы — одна единица на один автомобиль;</w:t>
      </w:r>
    </w:p>
    <w:p w14:paraId="6077CE39">
      <w:pPr>
        <w:numPr>
          <w:ilvl w:val="0"/>
          <w:numId w:val="3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наборы автоинструмента — одна единица на один автомобиль;</w:t>
      </w:r>
    </w:p>
    <w:p w14:paraId="1BFAD151">
      <w:pPr>
        <w:numPr>
          <w:ilvl w:val="0"/>
          <w:numId w:val="3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аптечки — одна единица на один автомобиль;</w:t>
      </w:r>
    </w:p>
    <w:p w14:paraId="5E17D104">
      <w:pPr>
        <w:numPr>
          <w:ilvl w:val="0"/>
          <w:numId w:val="3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огнетушители— одна единица на один автомобиль;</w:t>
      </w:r>
    </w:p>
    <w:p w14:paraId="240801B2">
      <w:pPr>
        <w:spacing w:line="240" w:lineRule="auto"/>
        <w:rPr>
          <w:rFonts w:hAnsi="Times New Roman" w:cs="Times New Roman"/>
          <w:color w:val="000000"/>
          <w:sz w:val="24"/>
          <w:szCs w:val="24"/>
        </w:rPr>
      </w:pPr>
      <w:r>
        <w:rPr>
          <w:rFonts w:hAnsi="Times New Roman" w:cs="Times New Roman"/>
          <w:color w:val="000000"/>
          <w:sz w:val="24"/>
          <w:szCs w:val="24"/>
        </w:rPr>
        <w:t>Решение о замене поврежденной или не подлежащей ремонту шины принимает комиссия учреждения по поступлению и выбытию активов. Решение о замене комиссия оформляет документально в карточке учета автомобильной шины, форма которой разработана учреждением самостоятельно.</w:t>
      </w:r>
    </w:p>
    <w:p w14:paraId="26E0BE2B">
      <w:pPr>
        <w:spacing w:line="240" w:lineRule="auto"/>
        <w:rPr>
          <w:rFonts w:hAnsi="Times New Roman" w:cs="Times New Roman"/>
          <w:color w:val="000000"/>
          <w:sz w:val="24"/>
          <w:szCs w:val="24"/>
        </w:rPr>
      </w:pPr>
      <w:r>
        <w:rPr>
          <w:rFonts w:hAnsi="Times New Roman" w:cs="Times New Roman"/>
          <w:color w:val="000000"/>
          <w:sz w:val="24"/>
          <w:szCs w:val="24"/>
        </w:rPr>
        <w:t>Аналитический учет по счету ведется в разрезе автомобилей и ответственных лиц.</w:t>
      </w:r>
    </w:p>
    <w:p w14:paraId="4CFB8D2E">
      <w:pPr>
        <w:spacing w:line="240" w:lineRule="auto"/>
        <w:rPr>
          <w:rFonts w:hAnsi="Times New Roman" w:cs="Times New Roman"/>
          <w:color w:val="000000"/>
          <w:sz w:val="24"/>
          <w:szCs w:val="24"/>
        </w:rPr>
      </w:pPr>
      <w:r>
        <w:rPr>
          <w:rFonts w:hAnsi="Times New Roman" w:cs="Times New Roman"/>
          <w:color w:val="000000"/>
          <w:sz w:val="24"/>
          <w:szCs w:val="24"/>
        </w:rPr>
        <w:t>Поступление на счет 09 отражается:</w:t>
      </w:r>
    </w:p>
    <w:p w14:paraId="2F8B0D0D">
      <w:pPr>
        <w:numPr>
          <w:ilvl w:val="0"/>
          <w:numId w:val="3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 установке (передаче материально ответственному лицу) соответствующих</w:t>
      </w:r>
      <w:r>
        <w:br w:type="textWrapping"/>
      </w:r>
      <w:r>
        <w:rPr>
          <w:rFonts w:hAnsi="Times New Roman" w:cs="Times New Roman"/>
          <w:color w:val="000000"/>
          <w:sz w:val="24"/>
          <w:szCs w:val="24"/>
        </w:rPr>
        <w:t>запчастей после списания со счета 0.105.36.000 «Прочие материальные запасы — иное движимое имущество учреждения»;</w:t>
      </w:r>
    </w:p>
    <w:p w14:paraId="544BF213">
      <w:pPr>
        <w:numPr>
          <w:ilvl w:val="0"/>
          <w:numId w:val="3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при безвозмездном поступлении автомобиля от государственных (муниципальных) учреждений с документальной передачей остатков забалансового счета 09.</w:t>
      </w:r>
    </w:p>
    <w:p w14:paraId="305E0FEB">
      <w:pPr>
        <w:spacing w:line="240" w:lineRule="auto"/>
        <w:rPr>
          <w:rFonts w:hAnsi="Times New Roman" w:cs="Times New Roman"/>
          <w:color w:val="000000"/>
          <w:sz w:val="24"/>
          <w:szCs w:val="24"/>
        </w:rPr>
      </w:pPr>
      <w:r>
        <w:rPr>
          <w:rFonts w:hAnsi="Times New Roman" w:cs="Times New Roman"/>
          <w:color w:val="000000"/>
          <w:sz w:val="24"/>
          <w:szCs w:val="24"/>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14:paraId="35F55644">
      <w:pPr>
        <w:spacing w:line="240" w:lineRule="auto"/>
        <w:rPr>
          <w:rFonts w:hAnsi="Times New Roman" w:cs="Times New Roman"/>
          <w:color w:val="000000"/>
          <w:sz w:val="24"/>
          <w:szCs w:val="24"/>
        </w:rPr>
      </w:pPr>
      <w:r>
        <w:rPr>
          <w:rFonts w:hAnsi="Times New Roman" w:cs="Times New Roman"/>
          <w:color w:val="000000"/>
          <w:sz w:val="24"/>
          <w:szCs w:val="24"/>
        </w:rPr>
        <w:t>Внутреннее перемещение по счету отражается:</w:t>
      </w:r>
    </w:p>
    <w:p w14:paraId="2DAC4EFA">
      <w:pPr>
        <w:numPr>
          <w:ilvl w:val="0"/>
          <w:numId w:val="3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 передаче на другой автомобиль;</w:t>
      </w:r>
    </w:p>
    <w:p w14:paraId="6505285F">
      <w:pPr>
        <w:numPr>
          <w:ilvl w:val="0"/>
          <w:numId w:val="3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при передаче другому материально ответственному лицу вместе с автомобилем.</w:t>
      </w:r>
    </w:p>
    <w:p w14:paraId="0EDD4DE1">
      <w:pPr>
        <w:spacing w:line="240" w:lineRule="auto"/>
        <w:rPr>
          <w:rFonts w:hAnsi="Times New Roman" w:cs="Times New Roman"/>
          <w:color w:val="000000"/>
          <w:sz w:val="24"/>
          <w:szCs w:val="24"/>
        </w:rPr>
      </w:pPr>
      <w:r>
        <w:rPr>
          <w:rFonts w:hAnsi="Times New Roman" w:cs="Times New Roman"/>
          <w:color w:val="000000"/>
          <w:sz w:val="24"/>
          <w:szCs w:val="24"/>
        </w:rPr>
        <w:t>Выбытие со счета 09 отражается:</w:t>
      </w:r>
    </w:p>
    <w:p w14:paraId="39BC9DE1">
      <w:pPr>
        <w:numPr>
          <w:ilvl w:val="0"/>
          <w:numId w:val="3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 списании автомобиля по установленным основаниям;</w:t>
      </w:r>
    </w:p>
    <w:p w14:paraId="442AF21C">
      <w:pPr>
        <w:numPr>
          <w:ilvl w:val="0"/>
          <w:numId w:val="3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при установке новых запчастей взамен непригодных к эксплуатации.</w:t>
      </w:r>
    </w:p>
    <w:p w14:paraId="6F51AC10">
      <w:pPr>
        <w:spacing w:line="240" w:lineRule="auto"/>
        <w:rPr>
          <w:rFonts w:hAnsi="Times New Roman" w:cs="Times New Roman"/>
          <w:color w:val="000000"/>
          <w:sz w:val="24"/>
          <w:szCs w:val="24"/>
        </w:rPr>
      </w:pPr>
      <w:r>
        <w:rPr>
          <w:rFonts w:hAnsi="Times New Roman" w:cs="Times New Roman"/>
          <w:color w:val="000000"/>
          <w:sz w:val="24"/>
          <w:szCs w:val="24"/>
        </w:rPr>
        <w:t>Основание: пункты 237–238 СГС «Единый план счетов» № 121н.</w:t>
      </w:r>
    </w:p>
    <w:p w14:paraId="3ED9509F">
      <w:pPr>
        <w:spacing w:line="240" w:lineRule="auto"/>
        <w:rPr>
          <w:rFonts w:hAnsi="Times New Roman" w:cs="Times New Roman"/>
          <w:color w:val="000000"/>
          <w:sz w:val="24"/>
          <w:szCs w:val="24"/>
        </w:rPr>
      </w:pPr>
      <w:r>
        <w:rPr>
          <w:rFonts w:hAnsi="Times New Roman" w:cs="Times New Roman"/>
          <w:b/>
          <w:bCs/>
          <w:color w:val="000000"/>
          <w:sz w:val="24"/>
          <w:szCs w:val="24"/>
        </w:rPr>
        <w:t>6.4. Забалансовый счет 24 «Нефинансовые активы, переданные в доверительное управление»</w:t>
      </w:r>
    </w:p>
    <w:p w14:paraId="7D82DF3B">
      <w:pPr>
        <w:spacing w:line="240" w:lineRule="auto"/>
        <w:rPr>
          <w:rFonts w:hAnsi="Times New Roman" w:cs="Times New Roman"/>
          <w:color w:val="000000"/>
          <w:sz w:val="24"/>
          <w:szCs w:val="24"/>
        </w:rPr>
      </w:pPr>
      <w:r>
        <w:rPr>
          <w:rFonts w:hAnsi="Times New Roman" w:cs="Times New Roman"/>
          <w:color w:val="000000"/>
          <w:sz w:val="24"/>
          <w:szCs w:val="24"/>
        </w:rPr>
        <w:t>Принятие к учету объектов имущества осуществляется на основании акта приема-передачи имущества по стоимости, указанной в акте.</w:t>
      </w:r>
    </w:p>
    <w:p w14:paraId="3EC48C4F">
      <w:pPr>
        <w:spacing w:line="240" w:lineRule="auto"/>
        <w:rPr>
          <w:rFonts w:hAnsi="Times New Roman" w:cs="Times New Roman"/>
          <w:color w:val="000000"/>
          <w:sz w:val="24"/>
          <w:szCs w:val="24"/>
        </w:rPr>
      </w:pPr>
      <w:r>
        <w:rPr>
          <w:rFonts w:hAnsi="Times New Roman" w:cs="Times New Roman"/>
          <w:b/>
          <w:bCs/>
          <w:color w:val="000000"/>
          <w:sz w:val="24"/>
          <w:szCs w:val="24"/>
        </w:rPr>
        <w:t>6.5. Забалансовый счет 25 «Имущество, переданное в возмездное пользование (аренду)»</w:t>
      </w:r>
    </w:p>
    <w:p w14:paraId="2077C7D7">
      <w:pPr>
        <w:spacing w:line="240" w:lineRule="auto"/>
        <w:rPr>
          <w:rFonts w:hAnsi="Times New Roman" w:cs="Times New Roman"/>
          <w:color w:val="000000"/>
          <w:sz w:val="24"/>
          <w:szCs w:val="24"/>
        </w:rPr>
      </w:pPr>
      <w:r>
        <w:rPr>
          <w:rFonts w:hAnsi="Times New Roman" w:cs="Times New Roman"/>
          <w:color w:val="000000"/>
          <w:sz w:val="24"/>
          <w:szCs w:val="24"/>
        </w:rPr>
        <w:t>Принятие к забалансовому учету объектов имущества осуществляется на основании первичного учетного документа (акта приема-передачи) по стоимости, указанной в документе.</w:t>
      </w:r>
    </w:p>
    <w:p w14:paraId="168A7B95">
      <w:pPr>
        <w:spacing w:line="240" w:lineRule="auto"/>
        <w:rPr>
          <w:rFonts w:hAnsi="Times New Roman" w:cs="Times New Roman"/>
          <w:color w:val="000000"/>
          <w:sz w:val="24"/>
          <w:szCs w:val="24"/>
        </w:rPr>
      </w:pPr>
      <w:r>
        <w:rPr>
          <w:rFonts w:hAnsi="Times New Roman" w:cs="Times New Roman"/>
          <w:b/>
          <w:bCs/>
          <w:color w:val="000000"/>
          <w:sz w:val="24"/>
          <w:szCs w:val="24"/>
        </w:rPr>
        <w:t>6.6. Забалансовый счет 26 «Имущество, переданное в безвозмездное пользование»</w:t>
      </w:r>
    </w:p>
    <w:p w14:paraId="1057251B">
      <w:pPr>
        <w:spacing w:line="240" w:lineRule="auto"/>
        <w:rPr>
          <w:rFonts w:hAnsi="Times New Roman" w:cs="Times New Roman"/>
          <w:color w:val="000000"/>
          <w:sz w:val="24"/>
          <w:szCs w:val="24"/>
        </w:rPr>
      </w:pPr>
      <w:r>
        <w:rPr>
          <w:rFonts w:hAnsi="Times New Roman" w:cs="Times New Roman"/>
          <w:color w:val="000000"/>
          <w:sz w:val="24"/>
          <w:szCs w:val="24"/>
        </w:rPr>
        <w:t>Принятие к забалансовому учету объектов имущества осуществляется на основании первичного учетного документа (акта приема-передачи) по стоимости, указанной в документе.</w:t>
      </w:r>
    </w:p>
    <w:p w14:paraId="08B5D92A">
      <w:pPr>
        <w:spacing w:line="240" w:lineRule="auto"/>
        <w:rPr>
          <w:rFonts w:hAnsi="Times New Roman" w:cs="Times New Roman"/>
          <w:color w:val="000000"/>
          <w:sz w:val="24"/>
          <w:szCs w:val="24"/>
        </w:rPr>
      </w:pPr>
      <w:r>
        <w:rPr>
          <w:rFonts w:hAnsi="Times New Roman" w:cs="Times New Roman"/>
          <w:b/>
          <w:bCs/>
          <w:color w:val="000000"/>
          <w:sz w:val="24"/>
          <w:szCs w:val="24"/>
        </w:rPr>
        <w:t>7. Расчеты по доходам</w:t>
      </w:r>
    </w:p>
    <w:p w14:paraId="6AD15F2D">
      <w:pPr>
        <w:spacing w:line="240" w:lineRule="auto"/>
        <w:rPr>
          <w:rFonts w:hAnsi="Times New Roman" w:cs="Times New Roman"/>
          <w:color w:val="000000"/>
          <w:sz w:val="24"/>
          <w:szCs w:val="24"/>
        </w:rPr>
      </w:pPr>
      <w:r>
        <w:rPr>
          <w:rFonts w:hAnsi="Times New Roman" w:cs="Times New Roman"/>
          <w:color w:val="000000"/>
          <w:sz w:val="24"/>
          <w:szCs w:val="24"/>
        </w:rPr>
        <w:t>7.1. Учреждение администрирует поступления в бюджет на счете КБК 1.210.02.000 по правилам, установленным главным администратором доходов бюджета.</w:t>
      </w:r>
    </w:p>
    <w:p w14:paraId="1A5DD004">
      <w:pPr>
        <w:spacing w:line="240" w:lineRule="auto"/>
        <w:rPr>
          <w:rFonts w:hAnsi="Times New Roman" w:cs="Times New Roman"/>
          <w:color w:val="000000"/>
          <w:sz w:val="24"/>
          <w:szCs w:val="24"/>
        </w:rPr>
      </w:pPr>
      <w:r>
        <w:rPr>
          <w:rFonts w:hAnsi="Times New Roman" w:cs="Times New Roman"/>
          <w:color w:val="000000"/>
          <w:sz w:val="24"/>
          <w:szCs w:val="24"/>
        </w:rPr>
        <w:t>7.3. Излишне полученные от плательщиков средства возвращаются на основании заявления плательщика и акта сверки с плательщиком.</w:t>
      </w:r>
    </w:p>
    <w:p w14:paraId="35944935">
      <w:pPr>
        <w:spacing w:line="240" w:lineRule="auto"/>
        <w:rPr>
          <w:rFonts w:hAnsi="Times New Roman" w:cs="Times New Roman"/>
          <w:color w:val="000000"/>
          <w:sz w:val="24"/>
          <w:szCs w:val="24"/>
        </w:rPr>
      </w:pPr>
      <w:r>
        <w:rPr>
          <w:rFonts w:hAnsi="Times New Roman" w:cs="Times New Roman"/>
          <w:color w:val="000000"/>
          <w:sz w:val="24"/>
          <w:szCs w:val="24"/>
        </w:rPr>
        <w:t>7.4. Учреждение начисляет доходы от платных государственных услуг в Ведомости начисления доходов бюджета (ф. 0510837). Остальные администрируемые доходы начисляются в Извещении о начислении дохода (уточнении начисления) (ф. 0510432).</w:t>
      </w:r>
    </w:p>
    <w:p w14:paraId="5DD8D8B9">
      <w:pPr>
        <w:spacing w:line="240" w:lineRule="auto"/>
        <w:rPr>
          <w:rFonts w:hAnsi="Times New Roman" w:cs="Times New Roman"/>
          <w:color w:val="000000"/>
          <w:sz w:val="24"/>
          <w:szCs w:val="24"/>
        </w:rPr>
      </w:pPr>
      <w:r>
        <w:rPr>
          <w:rFonts w:hAnsi="Times New Roman" w:cs="Times New Roman"/>
          <w:b/>
          <w:bCs/>
          <w:color w:val="000000"/>
          <w:sz w:val="24"/>
          <w:szCs w:val="24"/>
        </w:rPr>
        <w:t>8. Расчеты с подотчетными лицами</w:t>
      </w:r>
    </w:p>
    <w:p w14:paraId="09017E40">
      <w:pPr>
        <w:spacing w:line="240" w:lineRule="auto"/>
        <w:rPr>
          <w:rFonts w:hAnsi="Times New Roman" w:cs="Times New Roman"/>
          <w:color w:val="000000"/>
          <w:sz w:val="24"/>
          <w:szCs w:val="24"/>
        </w:rPr>
      </w:pPr>
      <w:r>
        <w:rPr>
          <w:rFonts w:hAnsi="Times New Roman" w:cs="Times New Roman"/>
          <w:color w:val="000000"/>
          <w:sz w:val="24"/>
          <w:szCs w:val="24"/>
        </w:rPr>
        <w:t>8.1. Выдача денежных средств под отчет производится путем:</w:t>
      </w:r>
    </w:p>
    <w:p w14:paraId="68C77ECF">
      <w:pPr>
        <w:numPr>
          <w:ilvl w:val="0"/>
          <w:numId w:val="3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выдачи из кассы. При этом выплаты подотчетных сумм сотрудникам производятся в течение трех рабочих дней, включая день получения денег в банке;</w:t>
      </w:r>
    </w:p>
    <w:p w14:paraId="5505A944">
      <w:pPr>
        <w:numPr>
          <w:ilvl w:val="0"/>
          <w:numId w:val="35"/>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перечисления на зарплатную карту материально ответственного лица.</w:t>
      </w:r>
    </w:p>
    <w:p w14:paraId="06E982BB">
      <w:pPr>
        <w:spacing w:line="240" w:lineRule="auto"/>
        <w:rPr>
          <w:rFonts w:hAnsi="Times New Roman" w:cs="Times New Roman"/>
          <w:color w:val="000000"/>
          <w:sz w:val="24"/>
          <w:szCs w:val="24"/>
        </w:rPr>
      </w:pPr>
      <w:r>
        <w:rPr>
          <w:rFonts w:hAnsi="Times New Roman" w:cs="Times New Roman"/>
          <w:color w:val="000000"/>
          <w:sz w:val="24"/>
          <w:szCs w:val="24"/>
        </w:rPr>
        <w:t>Способ выдачи денежных средств должен указывается в документе-основании на выдачу денежных средств.</w:t>
      </w:r>
    </w:p>
    <w:p w14:paraId="61653F8B">
      <w:pPr>
        <w:spacing w:line="240" w:lineRule="auto"/>
        <w:rPr>
          <w:rFonts w:hAnsi="Times New Roman" w:cs="Times New Roman"/>
          <w:color w:val="000000"/>
          <w:sz w:val="24"/>
          <w:szCs w:val="24"/>
        </w:rPr>
      </w:pPr>
      <w:r>
        <w:rPr>
          <w:rFonts w:hAnsi="Times New Roman" w:cs="Times New Roman"/>
          <w:color w:val="000000"/>
          <w:sz w:val="24"/>
          <w:szCs w:val="24"/>
        </w:rPr>
        <w:t>8.2. Учреждение выдает денежные средства под отчет штатным сотрудникам, а также лицам, которые не состоят в штате, на основании отдельного приказа руководителя. Расчеты по выданным суммам проходят в порядке, установленном для штатных сотрудников.</w:t>
      </w:r>
    </w:p>
    <w:p w14:paraId="7F8DC2CB">
      <w:pPr>
        <w:spacing w:line="240" w:lineRule="auto"/>
        <w:rPr>
          <w:rFonts w:hAnsi="Times New Roman" w:cs="Times New Roman"/>
          <w:color w:val="000000"/>
          <w:sz w:val="24"/>
          <w:szCs w:val="24"/>
        </w:rPr>
      </w:pPr>
      <w:r>
        <w:rPr>
          <w:rFonts w:hAnsi="Times New Roman" w:cs="Times New Roman"/>
          <w:color w:val="000000"/>
          <w:sz w:val="24"/>
          <w:szCs w:val="24"/>
        </w:rPr>
        <w:t>8.3. Предельная сумма денежных средств, выданных под отчет (за исключением расходов на командировки) устанавливается в размере 20 000 (двадцать тысяч) руб.</w:t>
      </w:r>
    </w:p>
    <w:p w14:paraId="735E7892">
      <w:pPr>
        <w:spacing w:line="240" w:lineRule="auto"/>
        <w:rPr>
          <w:rFonts w:hAnsi="Times New Roman" w:cs="Times New Roman"/>
          <w:color w:val="000000"/>
          <w:sz w:val="24"/>
          <w:szCs w:val="24"/>
        </w:rPr>
      </w:pPr>
      <w:r>
        <w:rPr>
          <w:rFonts w:hAnsi="Times New Roman" w:cs="Times New Roman"/>
          <w:color w:val="000000"/>
          <w:sz w:val="24"/>
          <w:szCs w:val="24"/>
        </w:rPr>
        <w:t>На основании распоряжения руководителя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Центрального банка.</w:t>
      </w:r>
    </w:p>
    <w:p w14:paraId="447BAC96">
      <w:pPr>
        <w:spacing w:line="240" w:lineRule="auto"/>
        <w:rPr>
          <w:rFonts w:hAnsi="Times New Roman" w:cs="Times New Roman"/>
          <w:color w:val="000000"/>
          <w:sz w:val="24"/>
          <w:szCs w:val="24"/>
        </w:rPr>
      </w:pPr>
      <w:r>
        <w:rPr>
          <w:rFonts w:hAnsi="Times New Roman" w:cs="Times New Roman"/>
          <w:color w:val="000000"/>
          <w:sz w:val="24"/>
          <w:szCs w:val="24"/>
        </w:rPr>
        <w:t>Основание: пункт 4 Указаний ЦБ от 09.12.2019 № 5348-У.</w:t>
      </w:r>
    </w:p>
    <w:p w14:paraId="54D8787E">
      <w:pPr>
        <w:spacing w:line="240" w:lineRule="auto"/>
        <w:rPr>
          <w:rFonts w:hAnsi="Times New Roman" w:cs="Times New Roman"/>
          <w:color w:val="000000"/>
          <w:sz w:val="24"/>
          <w:szCs w:val="24"/>
        </w:rPr>
      </w:pPr>
      <w:r>
        <w:rPr>
          <w:rFonts w:hAnsi="Times New Roman" w:cs="Times New Roman"/>
          <w:color w:val="000000"/>
          <w:sz w:val="24"/>
          <w:szCs w:val="24"/>
        </w:rPr>
        <w:t>8.4.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трех рабочих дней.</w:t>
      </w:r>
    </w:p>
    <w:p w14:paraId="330DFC36">
      <w:pPr>
        <w:spacing w:line="240" w:lineRule="auto"/>
        <w:rPr>
          <w:rFonts w:hAnsi="Times New Roman" w:cs="Times New Roman"/>
          <w:color w:val="000000"/>
          <w:sz w:val="24"/>
          <w:szCs w:val="24"/>
        </w:rPr>
      </w:pPr>
      <w:r>
        <w:rPr>
          <w:rFonts w:hAnsi="Times New Roman" w:cs="Times New Roman"/>
          <w:color w:val="000000"/>
          <w:sz w:val="24"/>
          <w:szCs w:val="24"/>
        </w:rPr>
        <w:t>8.5. При направлении сотрудников учреждения в служебные командировки на территории России расходы на них возмещаются в соответствии с постановлением Правительства от 02.10.2002 № 729. Возмещение расходов на служебные командировки, превышающих размер установленный Правительством РФ, производится при наличии экономии бюджетных средств по фактическим расходам.</w:t>
      </w:r>
    </w:p>
    <w:p w14:paraId="7BC5CF95">
      <w:pPr>
        <w:spacing w:line="240" w:lineRule="auto"/>
        <w:rPr>
          <w:rFonts w:hAnsi="Times New Roman" w:cs="Times New Roman"/>
          <w:color w:val="000000"/>
          <w:sz w:val="24"/>
          <w:szCs w:val="24"/>
        </w:rPr>
      </w:pPr>
      <w:r>
        <w:rPr>
          <w:rFonts w:hAnsi="Times New Roman" w:cs="Times New Roman"/>
          <w:color w:val="000000"/>
          <w:sz w:val="24"/>
          <w:szCs w:val="24"/>
        </w:rPr>
        <w:t>Основание: пункты 2, 3 постановления Правительства от 02.10.2002 № 729.</w:t>
      </w:r>
    </w:p>
    <w:p w14:paraId="647E2A37">
      <w:pPr>
        <w:spacing w:line="240" w:lineRule="auto"/>
        <w:rPr>
          <w:rFonts w:hAnsi="Times New Roman" w:cs="Times New Roman"/>
          <w:color w:val="000000"/>
          <w:sz w:val="24"/>
          <w:szCs w:val="24"/>
        </w:rPr>
      </w:pPr>
      <w:r>
        <w:rPr>
          <w:rFonts w:hAnsi="Times New Roman" w:cs="Times New Roman"/>
          <w:color w:val="000000"/>
          <w:sz w:val="24"/>
          <w:szCs w:val="24"/>
        </w:rPr>
        <w:t>Порядок оформления служебных командировок и возмещения командировочных расходов приведен в приложении 8.</w:t>
      </w:r>
    </w:p>
    <w:p w14:paraId="225F983B">
      <w:pPr>
        <w:spacing w:line="240" w:lineRule="auto"/>
        <w:rPr>
          <w:rFonts w:hAnsi="Times New Roman" w:cs="Times New Roman"/>
          <w:color w:val="000000"/>
          <w:sz w:val="24"/>
          <w:szCs w:val="24"/>
        </w:rPr>
      </w:pPr>
      <w:r>
        <w:rPr>
          <w:rFonts w:hAnsi="Times New Roman" w:cs="Times New Roman"/>
          <w:color w:val="000000"/>
          <w:sz w:val="24"/>
          <w:szCs w:val="24"/>
        </w:rPr>
        <w:t>8.6. Предельные сроки отчета по выданным доверенностям на получение материальных ценностей устанавливаются следующие:</w:t>
      </w:r>
    </w:p>
    <w:p w14:paraId="5FAB3DDB">
      <w:pPr>
        <w:numPr>
          <w:ilvl w:val="0"/>
          <w:numId w:val="3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 течение 10 календарных дней с момента получения;</w:t>
      </w:r>
    </w:p>
    <w:p w14:paraId="39560312">
      <w:pPr>
        <w:numPr>
          <w:ilvl w:val="0"/>
          <w:numId w:val="36"/>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в течение трех рабочих дней с момента получения материальных ценностей.</w:t>
      </w:r>
    </w:p>
    <w:p w14:paraId="0C6CD850">
      <w:pPr>
        <w:spacing w:line="240" w:lineRule="auto"/>
        <w:rPr>
          <w:rFonts w:hAnsi="Times New Roman" w:cs="Times New Roman"/>
          <w:color w:val="000000"/>
          <w:sz w:val="24"/>
          <w:szCs w:val="24"/>
        </w:rPr>
      </w:pPr>
      <w:r>
        <w:rPr>
          <w:rFonts w:hAnsi="Times New Roman" w:cs="Times New Roman"/>
          <w:color w:val="000000"/>
          <w:sz w:val="24"/>
          <w:szCs w:val="24"/>
        </w:rPr>
        <w:t>Доверенности выдаются штатным сотрудникам, с которыми заключен договор о полной материальной ответственности.</w:t>
      </w:r>
    </w:p>
    <w:p w14:paraId="106E9FB3">
      <w:pPr>
        <w:spacing w:line="240" w:lineRule="auto"/>
        <w:rPr>
          <w:rFonts w:hAnsi="Times New Roman" w:cs="Times New Roman"/>
          <w:color w:val="000000"/>
          <w:sz w:val="24"/>
          <w:szCs w:val="24"/>
        </w:rPr>
      </w:pPr>
      <w:r>
        <w:rPr>
          <w:rFonts w:hAnsi="Times New Roman" w:cs="Times New Roman"/>
          <w:color w:val="000000"/>
          <w:sz w:val="24"/>
          <w:szCs w:val="24"/>
        </w:rPr>
        <w:t>8.7. Для подтверждения произведенных расходов, помимо кассового чека, подотчетное лицо должно представить в бухгалтерию вместе с отчетом дополнительные документы:</w:t>
      </w:r>
    </w:p>
    <w:p w14:paraId="6300FB6F">
      <w:pPr>
        <w:numPr>
          <w:ilvl w:val="0"/>
          <w:numId w:val="3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накладную на товар;</w:t>
      </w:r>
    </w:p>
    <w:p w14:paraId="4FC89F08">
      <w:pPr>
        <w:numPr>
          <w:ilvl w:val="0"/>
          <w:numId w:val="3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акт выполненных работ, оказанных услуг;</w:t>
      </w:r>
    </w:p>
    <w:p w14:paraId="2F76F407">
      <w:pPr>
        <w:numPr>
          <w:ilvl w:val="0"/>
          <w:numId w:val="3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счет-фактуру, если продавец применяет НДС;</w:t>
      </w:r>
    </w:p>
    <w:p w14:paraId="5DDD045F">
      <w:pPr>
        <w:numPr>
          <w:ilvl w:val="0"/>
          <w:numId w:val="37"/>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гарантийный талон, если товар имеет гарантийный срок.</w:t>
      </w:r>
    </w:p>
    <w:p w14:paraId="5A4F6C98">
      <w:pPr>
        <w:spacing w:line="240" w:lineRule="auto"/>
        <w:rPr>
          <w:rFonts w:hAnsi="Times New Roman" w:cs="Times New Roman"/>
          <w:color w:val="000000"/>
          <w:sz w:val="24"/>
          <w:szCs w:val="24"/>
        </w:rPr>
      </w:pPr>
      <w:r>
        <w:rPr>
          <w:rFonts w:hAnsi="Times New Roman" w:cs="Times New Roman"/>
          <w:color w:val="000000"/>
          <w:sz w:val="24"/>
          <w:szCs w:val="24"/>
        </w:rPr>
        <w:t>Отсутствие полного комплекта документов может повлечь отказ в принятии расходов к учету. Перерасход подотчетных средств не допускается.</w:t>
      </w:r>
    </w:p>
    <w:p w14:paraId="10FC0235">
      <w:pPr>
        <w:spacing w:line="240" w:lineRule="auto"/>
        <w:rPr>
          <w:rFonts w:hAnsi="Times New Roman" w:cs="Times New Roman"/>
          <w:color w:val="000000"/>
          <w:sz w:val="24"/>
          <w:szCs w:val="24"/>
        </w:rPr>
      </w:pPr>
      <w:r>
        <w:rPr>
          <w:rFonts w:hAnsi="Times New Roman" w:cs="Times New Roman"/>
          <w:b/>
          <w:bCs/>
          <w:color w:val="000000"/>
          <w:sz w:val="24"/>
          <w:szCs w:val="24"/>
        </w:rPr>
        <w:t>9. Расчеты с дебиторами и кредиторами</w:t>
      </w:r>
    </w:p>
    <w:p w14:paraId="603B19E9">
      <w:pPr>
        <w:spacing w:line="240" w:lineRule="auto"/>
        <w:rPr>
          <w:rFonts w:hAnsi="Times New Roman" w:cs="Times New Roman"/>
          <w:color w:val="000000"/>
          <w:sz w:val="24"/>
          <w:szCs w:val="24"/>
        </w:rPr>
      </w:pPr>
      <w:r>
        <w:rPr>
          <w:rFonts w:hAnsi="Times New Roman" w:cs="Times New Roman"/>
          <w:color w:val="000000"/>
          <w:sz w:val="24"/>
          <w:szCs w:val="24"/>
        </w:rPr>
        <w:t>9.1. 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14:paraId="6CBB83C6">
      <w:pPr>
        <w:spacing w:line="240" w:lineRule="auto"/>
        <w:rPr>
          <w:rFonts w:hAnsi="Times New Roman" w:cs="Times New Roman"/>
          <w:color w:val="000000"/>
          <w:sz w:val="24"/>
          <w:szCs w:val="24"/>
        </w:rPr>
      </w:pPr>
      <w:r>
        <w:rPr>
          <w:rFonts w:hAnsi="Times New Roman" w:cs="Times New Roman"/>
          <w:color w:val="000000"/>
          <w:sz w:val="24"/>
          <w:szCs w:val="24"/>
        </w:rPr>
        <w:t>9.2. Аналитический учет расчетов по пособиям и иным социальным выплатам ведется в разрезе физических лиц – получателей социальных выплат.</w:t>
      </w:r>
    </w:p>
    <w:p w14:paraId="63EE3C5C">
      <w:pPr>
        <w:spacing w:line="240" w:lineRule="auto"/>
        <w:rPr>
          <w:rFonts w:hAnsi="Times New Roman" w:cs="Times New Roman"/>
          <w:color w:val="000000"/>
          <w:sz w:val="24"/>
          <w:szCs w:val="24"/>
        </w:rPr>
      </w:pPr>
      <w:r>
        <w:rPr>
          <w:rFonts w:hAnsi="Times New Roman" w:cs="Times New Roman"/>
          <w:color w:val="000000"/>
          <w:sz w:val="24"/>
          <w:szCs w:val="24"/>
        </w:rPr>
        <w:t>9.3.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14:paraId="10D4CF96">
      <w:pPr>
        <w:spacing w:line="240" w:lineRule="auto"/>
        <w:rPr>
          <w:rFonts w:hAnsi="Times New Roman" w:cs="Times New Roman"/>
          <w:color w:val="000000"/>
          <w:sz w:val="24"/>
          <w:szCs w:val="24"/>
        </w:rPr>
      </w:pPr>
      <w:r>
        <w:rPr>
          <w:rFonts w:hAnsi="Times New Roman" w:cs="Times New Roman"/>
          <w:color w:val="000000"/>
          <w:sz w:val="24"/>
          <w:szCs w:val="24"/>
        </w:rPr>
        <w:t>9.4.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задолженности сомнительной и безнадежной к взысканию — приложение № 19.</w:t>
      </w:r>
      <w:r>
        <w:br w:type="textWrapping"/>
      </w:r>
      <w:r>
        <w:rPr>
          <w:rFonts w:hAnsi="Times New Roman" w:cs="Times New Roman"/>
          <w:color w:val="000000"/>
          <w:sz w:val="24"/>
          <w:szCs w:val="24"/>
        </w:rPr>
        <w:t>Основание: пункт 11 СГС «Доходы».</w:t>
      </w:r>
    </w:p>
    <w:p w14:paraId="0C3CBEFB">
      <w:pPr>
        <w:spacing w:line="240" w:lineRule="auto"/>
        <w:rPr>
          <w:rFonts w:hAnsi="Times New Roman" w:cs="Times New Roman"/>
          <w:color w:val="000000"/>
          <w:sz w:val="24"/>
          <w:szCs w:val="24"/>
        </w:rPr>
      </w:pPr>
      <w:r>
        <w:rPr>
          <w:rFonts w:hAnsi="Times New Roman" w:cs="Times New Roman"/>
          <w:color w:val="000000"/>
          <w:sz w:val="24"/>
          <w:szCs w:val="24"/>
        </w:rPr>
        <w:t>9.5. Кредиторская задолженность, не востребованная кредитором, списывается на финансовый результат на основании решения инвентаризационной комиссии о признании задолженности невостребованной. Одновременно списанная с балансового учета кредиторская задолженность отражается на забалансовом счете 20 «Задолженность, не востребованная кредиторами».</w:t>
      </w:r>
    </w:p>
    <w:p w14:paraId="7813D5F7">
      <w:pPr>
        <w:spacing w:line="240" w:lineRule="auto"/>
        <w:rPr>
          <w:rFonts w:hAnsi="Times New Roman" w:cs="Times New Roman"/>
          <w:color w:val="000000"/>
          <w:sz w:val="24"/>
          <w:szCs w:val="24"/>
        </w:rPr>
      </w:pPr>
      <w:r>
        <w:rPr>
          <w:rFonts w:hAnsi="Times New Roman" w:cs="Times New Roman"/>
          <w:color w:val="000000"/>
          <w:sz w:val="24"/>
          <w:szCs w:val="24"/>
        </w:rPr>
        <w:t>Порядок принятия решения о списании с балансового и забалансового учета утвержден в положении о списании кредиторской задолженности — приложение № 20.</w:t>
      </w:r>
    </w:p>
    <w:p w14:paraId="7FD473D0">
      <w:pPr>
        <w:spacing w:line="240" w:lineRule="auto"/>
        <w:rPr>
          <w:rFonts w:hAnsi="Times New Roman" w:cs="Times New Roman"/>
          <w:color w:val="000000"/>
          <w:sz w:val="24"/>
          <w:szCs w:val="24"/>
        </w:rPr>
      </w:pPr>
      <w:r>
        <w:rPr>
          <w:rFonts w:hAnsi="Times New Roman" w:cs="Times New Roman"/>
          <w:b/>
          <w:bCs/>
          <w:color w:val="000000"/>
          <w:sz w:val="24"/>
          <w:szCs w:val="24"/>
        </w:rPr>
        <w:t>10. Финансовый результат</w:t>
      </w:r>
    </w:p>
    <w:p w14:paraId="2E0B5C55">
      <w:pPr>
        <w:spacing w:line="240" w:lineRule="auto"/>
        <w:rPr>
          <w:rFonts w:hAnsi="Times New Roman" w:cs="Times New Roman"/>
          <w:color w:val="000000"/>
          <w:sz w:val="24"/>
          <w:szCs w:val="24"/>
        </w:rPr>
      </w:pPr>
      <w:r>
        <w:rPr>
          <w:rFonts w:hAnsi="Times New Roman" w:cs="Times New Roman"/>
          <w:color w:val="000000"/>
          <w:sz w:val="24"/>
          <w:szCs w:val="24"/>
        </w:rPr>
        <w:t>10.1 В составе доходов будущих периодов учреждение учитывает доходы:</w:t>
      </w:r>
    </w:p>
    <w:p w14:paraId="7E8D5504">
      <w:pPr>
        <w:numPr>
          <w:ilvl w:val="0"/>
          <w:numId w:val="3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начисленные за выполненные и сданные заказчикам отдельные этапы работ, услуг, не относящихся к доходам текущего отчетного периода;</w:t>
      </w:r>
    </w:p>
    <w:p w14:paraId="12708E8B">
      <w:pPr>
        <w:numPr>
          <w:ilvl w:val="0"/>
          <w:numId w:val="3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полученные от продукции животноводства (приплод, привес, прирост животных) и земледелия;</w:t>
      </w:r>
    </w:p>
    <w:p w14:paraId="31873371">
      <w:pPr>
        <w:numPr>
          <w:ilvl w:val="0"/>
          <w:numId w:val="3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 месячным, квартальным, годовым абонементам;</w:t>
      </w:r>
    </w:p>
    <w:p w14:paraId="190056D2">
      <w:pPr>
        <w:numPr>
          <w:ilvl w:val="0"/>
          <w:numId w:val="3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 операциям реализации имущества казны в случае, если договором предусмотрена рассрочка платежа на условиях перехода права собственности на объект после завершения расчетов;</w:t>
      </w:r>
    </w:p>
    <w:p w14:paraId="057A6A5B">
      <w:pPr>
        <w:numPr>
          <w:ilvl w:val="0"/>
          <w:numId w:val="3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 соглашениям о предоставлении в очередном финансовом году (годах, следующих за отчетным) безвозмездных перечислений на условиях предоставления активов: межбюджетных трансфертов, субсидий бюджетным и автономным учреждениям, грантов в форме субсидий, субсидий юридическим лицам, физическим лицам - производителям товаров, работ, услуг, иным физическим лицам;</w:t>
      </w:r>
    </w:p>
    <w:p w14:paraId="0201FA91">
      <w:pPr>
        <w:numPr>
          <w:ilvl w:val="0"/>
          <w:numId w:val="3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 договорам (соглашениям) о предоставлении грантов;</w:t>
      </w:r>
    </w:p>
    <w:p w14:paraId="5F3FDCBB">
      <w:pPr>
        <w:numPr>
          <w:ilvl w:val="0"/>
          <w:numId w:val="3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от операций с объектами аренды (предстоящие доходы от предоставления права пользования активом);</w:t>
      </w:r>
    </w:p>
    <w:p w14:paraId="79A77E1B">
      <w:pPr>
        <w:numPr>
          <w:ilvl w:val="0"/>
          <w:numId w:val="38"/>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иные аналогичные доходы.</w:t>
      </w:r>
    </w:p>
    <w:p w14:paraId="30568795">
      <w:pPr>
        <w:spacing w:line="240" w:lineRule="auto"/>
        <w:rPr>
          <w:rFonts w:hAnsi="Times New Roman" w:cs="Times New Roman"/>
          <w:color w:val="000000"/>
          <w:sz w:val="24"/>
          <w:szCs w:val="24"/>
        </w:rPr>
      </w:pPr>
      <w:r>
        <w:rPr>
          <w:rFonts w:hAnsi="Times New Roman" w:cs="Times New Roman"/>
          <w:color w:val="000000"/>
          <w:sz w:val="24"/>
          <w:szCs w:val="24"/>
        </w:rPr>
        <w:t>10.2. Учреждение все расходы производит в соответствии с утвержденной на отчетный год бюджетной сметой и в пределах установленных норм:</w:t>
      </w:r>
    </w:p>
    <w:p w14:paraId="3DB2FD73">
      <w:pPr>
        <w:numPr>
          <w:ilvl w:val="0"/>
          <w:numId w:val="3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 междугородние переговоры, услуги по доступу в Интернет – по фактическому расходу;</w:t>
      </w:r>
    </w:p>
    <w:p w14:paraId="75B5867E">
      <w:pPr>
        <w:numPr>
          <w:ilvl w:val="0"/>
          <w:numId w:val="39"/>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пользование услугами сотовой связи – по лимиту, утвержденному распоряжением руководителя учреждения.</w:t>
      </w:r>
    </w:p>
    <w:p w14:paraId="188B5A26">
      <w:pPr>
        <w:spacing w:line="240" w:lineRule="auto"/>
        <w:rPr>
          <w:rFonts w:hAnsi="Times New Roman" w:cs="Times New Roman"/>
          <w:color w:val="000000"/>
          <w:sz w:val="24"/>
          <w:szCs w:val="24"/>
        </w:rPr>
      </w:pPr>
      <w:r>
        <w:rPr>
          <w:rFonts w:hAnsi="Times New Roman" w:cs="Times New Roman"/>
          <w:color w:val="000000"/>
          <w:sz w:val="24"/>
          <w:szCs w:val="24"/>
        </w:rPr>
        <w:t>10.3. В составе расходов будущих периодов отражаются расходы, связанные:</w:t>
      </w:r>
    </w:p>
    <w:p w14:paraId="1844AF73">
      <w:pPr>
        <w:numPr>
          <w:ilvl w:val="0"/>
          <w:numId w:val="4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 подготовительными к производству работами в связи с их сезонным характером;</w:t>
      </w:r>
    </w:p>
    <w:p w14:paraId="779E4E46">
      <w:pPr>
        <w:numPr>
          <w:ilvl w:val="0"/>
          <w:numId w:val="4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освоением новых производств, установок и агрегатов;</w:t>
      </w:r>
    </w:p>
    <w:p w14:paraId="6A8865F2">
      <w:pPr>
        <w:numPr>
          <w:ilvl w:val="0"/>
          <w:numId w:val="4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рекультивацией земель и осуществлением иных природоохранных мероприятий;</w:t>
      </w:r>
    </w:p>
    <w:p w14:paraId="38BCAF17">
      <w:pPr>
        <w:numPr>
          <w:ilvl w:val="0"/>
          <w:numId w:val="4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со страхованием имущества, гражданской ответственности;</w:t>
      </w:r>
    </w:p>
    <w:p w14:paraId="56BD5CD1">
      <w:pPr>
        <w:numPr>
          <w:ilvl w:val="0"/>
          <w:numId w:val="4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выплатой по ежегодному оплачиваемому отпуску, за неотработанные дни отпуска;</w:t>
      </w:r>
    </w:p>
    <w:p w14:paraId="3B1A148B">
      <w:pPr>
        <w:numPr>
          <w:ilvl w:val="0"/>
          <w:numId w:val="4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добровольным страхованием (пенсионным обеспечением) сотрудников учреждения;</w:t>
      </w:r>
    </w:p>
    <w:p w14:paraId="2A744676">
      <w:pPr>
        <w:numPr>
          <w:ilvl w:val="0"/>
          <w:numId w:val="4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неравномерно производимым ремонтом основных средств;</w:t>
      </w:r>
    </w:p>
    <w:p w14:paraId="7676C930">
      <w:pPr>
        <w:numPr>
          <w:ilvl w:val="0"/>
          <w:numId w:val="4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взносами на капремонт многоквартирных домов;</w:t>
      </w:r>
    </w:p>
    <w:p w14:paraId="27C64A32">
      <w:pPr>
        <w:numPr>
          <w:ilvl w:val="0"/>
          <w:numId w:val="4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платой за сертификат ключа ЭП;</w:t>
      </w:r>
    </w:p>
    <w:p w14:paraId="0F9B1E66">
      <w:pPr>
        <w:numPr>
          <w:ilvl w:val="0"/>
          <w:numId w:val="4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упущенной выгода от сдачи объектов в аренду на льготных условиях;</w:t>
      </w:r>
    </w:p>
    <w:p w14:paraId="70C396F7">
      <w:pPr>
        <w:spacing w:line="240" w:lineRule="auto"/>
        <w:rPr>
          <w:rFonts w:hAnsi="Times New Roman" w:cs="Times New Roman"/>
          <w:color w:val="000000"/>
          <w:sz w:val="24"/>
          <w:szCs w:val="24"/>
        </w:rPr>
      </w:pPr>
      <w:r>
        <w:rPr>
          <w:rFonts w:hAnsi="Times New Roman" w:cs="Times New Roman"/>
          <w:color w:val="000000"/>
          <w:sz w:val="24"/>
          <w:szCs w:val="24"/>
        </w:rPr>
        <w:t>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 По договорам страхования период, к которому относятся расходы, равен сроку действия договора. По другим расходам, которые относятся к будущим периодам, длительность периода устанавливается руководителем учреждения в приказе.</w:t>
      </w:r>
    </w:p>
    <w:p w14:paraId="0C20F0A2">
      <w:pPr>
        <w:spacing w:line="240" w:lineRule="auto"/>
        <w:rPr>
          <w:rFonts w:hAnsi="Times New Roman" w:cs="Times New Roman"/>
          <w:color w:val="000000"/>
          <w:sz w:val="24"/>
          <w:szCs w:val="24"/>
        </w:rPr>
      </w:pPr>
      <w:r>
        <w:rPr>
          <w:rFonts w:hAnsi="Times New Roman" w:cs="Times New Roman"/>
          <w:color w:val="000000"/>
          <w:sz w:val="24"/>
          <w:szCs w:val="24"/>
        </w:rPr>
        <w:t>10.4 В учреждении создаются резервы по выплатам персоналу, по искам и претензионным требованиям, по обязательствам при приемке результатов контрактов в ЕИС в сфере закупок, по гарантийному ремонту, по убыточным договорным обязательствам, на демонтаж основных средств, на оплату обязательств, по которым нет документов, по сомнительным долгам, под снижение стоимости материальных запасов.</w:t>
      </w:r>
    </w:p>
    <w:p w14:paraId="7A35041E">
      <w:pPr>
        <w:spacing w:line="240" w:lineRule="auto"/>
        <w:rPr>
          <w:rFonts w:hAnsi="Times New Roman" w:cs="Times New Roman"/>
          <w:color w:val="000000"/>
          <w:sz w:val="24"/>
          <w:szCs w:val="24"/>
        </w:rPr>
      </w:pPr>
      <w:r>
        <w:rPr>
          <w:rFonts w:hAnsi="Times New Roman" w:cs="Times New Roman"/>
          <w:color w:val="000000"/>
          <w:sz w:val="24"/>
          <w:szCs w:val="24"/>
        </w:rPr>
        <w:t>10.4.1. Резерв расходов по выплатам персоналу. Порядок расчета резерва приведен в приложении 14.</w:t>
      </w:r>
    </w:p>
    <w:p w14:paraId="5663ACCA">
      <w:pPr>
        <w:spacing w:line="240" w:lineRule="auto"/>
        <w:rPr>
          <w:rFonts w:hAnsi="Times New Roman" w:cs="Times New Roman"/>
          <w:color w:val="000000"/>
          <w:sz w:val="24"/>
          <w:szCs w:val="24"/>
        </w:rPr>
      </w:pPr>
      <w:r>
        <w:rPr>
          <w:rFonts w:hAnsi="Times New Roman" w:cs="Times New Roman"/>
          <w:color w:val="000000"/>
          <w:sz w:val="24"/>
          <w:szCs w:val="24"/>
        </w:rPr>
        <w:t>10.4.2. Резерв по искам, претензионным требованиям – в случае когда учреждение является стороной судебного разбирательства. Величина резерва устанавливается в размере претензии, предъявленной учреждению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«красное сторно».</w:t>
      </w:r>
    </w:p>
    <w:p w14:paraId="552A2716">
      <w:pPr>
        <w:spacing w:line="240" w:lineRule="auto"/>
        <w:rPr>
          <w:rFonts w:hAnsi="Times New Roman" w:cs="Times New Roman"/>
          <w:color w:val="000000"/>
          <w:sz w:val="24"/>
          <w:szCs w:val="24"/>
        </w:rPr>
      </w:pPr>
      <w:r>
        <w:rPr>
          <w:rFonts w:hAnsi="Times New Roman" w:cs="Times New Roman"/>
          <w:color w:val="000000"/>
          <w:sz w:val="24"/>
          <w:szCs w:val="24"/>
        </w:rPr>
        <w:t>10.4.3. Резерв по обязательствам, возникающим при поступлении товаров, работ, услуг, закупка которых осуществляется через ЕИС в сфере закупок, создается, если фактическая приемка осуществляется ранее размещения (подписания) в ЕИС документа о приемке поставленного товара (переданного результата работ, оказанной услуги).</w:t>
      </w:r>
    </w:p>
    <w:p w14:paraId="465C2CFD">
      <w:pPr>
        <w:spacing w:line="240" w:lineRule="auto"/>
        <w:rPr>
          <w:rFonts w:hAnsi="Times New Roman" w:cs="Times New Roman"/>
          <w:color w:val="000000"/>
          <w:sz w:val="24"/>
          <w:szCs w:val="24"/>
        </w:rPr>
      </w:pPr>
      <w:r>
        <w:rPr>
          <w:rFonts w:hAnsi="Times New Roman" w:cs="Times New Roman"/>
          <w:color w:val="000000"/>
          <w:sz w:val="24"/>
          <w:szCs w:val="24"/>
        </w:rPr>
        <w:t>Датой признания резерва в бухгалтерском учете является дата фактической поставки товара (выполнения работ, оказания услуг).</w:t>
      </w:r>
    </w:p>
    <w:p w14:paraId="5BD472AF">
      <w:pPr>
        <w:spacing w:line="240" w:lineRule="auto"/>
        <w:rPr>
          <w:rFonts w:hAnsi="Times New Roman" w:cs="Times New Roman"/>
          <w:color w:val="000000"/>
          <w:sz w:val="24"/>
          <w:szCs w:val="24"/>
        </w:rPr>
      </w:pPr>
      <w:r>
        <w:rPr>
          <w:rFonts w:hAnsi="Times New Roman" w:cs="Times New Roman"/>
          <w:color w:val="000000"/>
          <w:sz w:val="24"/>
          <w:szCs w:val="24"/>
        </w:rPr>
        <w:t>Резерв отражается на основании полученных от контрагента первичных документов (накладных, актов, УПД) и решения комиссии учреждения (ф. 0510441).</w:t>
      </w:r>
    </w:p>
    <w:p w14:paraId="083285E6">
      <w:pPr>
        <w:spacing w:line="240" w:lineRule="auto"/>
        <w:rPr>
          <w:rFonts w:hAnsi="Times New Roman" w:cs="Times New Roman"/>
          <w:color w:val="000000"/>
          <w:sz w:val="24"/>
          <w:szCs w:val="24"/>
        </w:rPr>
      </w:pPr>
      <w:r>
        <w:rPr>
          <w:rFonts w:hAnsi="Times New Roman" w:cs="Times New Roman"/>
          <w:color w:val="000000"/>
          <w:sz w:val="24"/>
          <w:szCs w:val="24"/>
        </w:rPr>
        <w:t>Резерв списывается после подписания в ЕИС документа о приемке — при признании затрат и (или) при признании кредиторской задолженности по выполнению обязательства, по которому резерв был создан. Уточнение ранее сформированного резерва отражается на дату его расчета дополнительной бухгалтерской записью (увеличение резерва). В случае избыточности суммы признанного резерва или в случае прекращения выполнения условий признания резерва, неиспользованная сумма резерва списывается с отнесением на уменьшение расходов (финансового результата) текущего периода (уменьшение резерва).</w:t>
      </w:r>
    </w:p>
    <w:p w14:paraId="3AF7E6EB">
      <w:pPr>
        <w:spacing w:line="240" w:lineRule="auto"/>
        <w:rPr>
          <w:rFonts w:hAnsi="Times New Roman" w:cs="Times New Roman"/>
          <w:color w:val="000000"/>
          <w:sz w:val="24"/>
          <w:szCs w:val="24"/>
        </w:rPr>
      </w:pPr>
      <w:r>
        <w:rPr>
          <w:rFonts w:hAnsi="Times New Roman" w:cs="Times New Roman"/>
          <w:color w:val="000000"/>
          <w:sz w:val="24"/>
          <w:szCs w:val="24"/>
        </w:rPr>
        <w:t>10.4.4. Резерв по гарантийному ремонту. Определяется на текущий год в первый рабочий день года на основе плановых показателей годовой выручки от реализации подлежащих гарантийному ремонту изделий. Величина резерва рассчитывается от суммы плановой выручки, умноженной на коэффициент предельного размера. Коэффициент рассчитывается как соотношение расходов на гарантийный ремонт за предшествующие три года к объему выручки за предшествующие три года.</w:t>
      </w:r>
    </w:p>
    <w:p w14:paraId="31BE6FCF">
      <w:pPr>
        <w:spacing w:line="240" w:lineRule="auto"/>
        <w:rPr>
          <w:rFonts w:hAnsi="Times New Roman" w:cs="Times New Roman"/>
          <w:color w:val="000000"/>
          <w:sz w:val="24"/>
          <w:szCs w:val="24"/>
        </w:rPr>
      </w:pPr>
      <w:r>
        <w:rPr>
          <w:rFonts w:hAnsi="Times New Roman" w:cs="Times New Roman"/>
          <w:color w:val="000000"/>
          <w:sz w:val="24"/>
          <w:szCs w:val="24"/>
        </w:rPr>
        <w:t xml:space="preserve">10.4.5. Резерв по убыточным договорным обязательствам создается, если изменились условия договора по независящим от учреждения причинам, вследствие чего появилась вероятность убыточности заключенного договора. Основание для создания резерва – финансово-экономическое обоснование от планового отдела, доказывающее, что затраты на исполнение договора превышают доход по нему. Сумма резерва равна разнице между предполагаемыми доходами и расходами, увеличенной на сумму санкций по договору. </w:t>
      </w:r>
    </w:p>
    <w:p w14:paraId="4788E372">
      <w:pPr>
        <w:spacing w:line="240" w:lineRule="auto"/>
        <w:rPr>
          <w:rFonts w:hAnsi="Times New Roman" w:cs="Times New Roman"/>
          <w:color w:val="000000"/>
          <w:sz w:val="24"/>
          <w:szCs w:val="24"/>
        </w:rPr>
      </w:pPr>
      <w:r>
        <w:rPr>
          <w:rFonts w:hAnsi="Times New Roman" w:cs="Times New Roman"/>
          <w:color w:val="000000"/>
          <w:sz w:val="24"/>
          <w:szCs w:val="24"/>
        </w:rPr>
        <w:t>10.4.6. Резерв на оплату обязательств, по которым нет документов, создается в последний рабочий день отчетного квартала в случае, когда на этот день в бухгалтерию не поступили первичные документы от контрагентов. Сумма резерва устанавливается на основании расчета планового отдела. Расчет производится на основании данных о фактически оказанных услугах, выполненных работах или поставленных товарах.</w:t>
      </w:r>
    </w:p>
    <w:p w14:paraId="23E1D627">
      <w:pPr>
        <w:spacing w:line="240" w:lineRule="auto"/>
        <w:rPr>
          <w:rFonts w:hAnsi="Times New Roman" w:cs="Times New Roman"/>
          <w:color w:val="000000"/>
          <w:sz w:val="24"/>
          <w:szCs w:val="24"/>
        </w:rPr>
      </w:pPr>
      <w:r>
        <w:rPr>
          <w:rFonts w:hAnsi="Times New Roman" w:cs="Times New Roman"/>
          <w:color w:val="000000"/>
          <w:sz w:val="24"/>
          <w:szCs w:val="24"/>
        </w:rPr>
        <w:t>10.4.7. Резерв по сомнительным долгам отражается на забалансовом счете 04 и равен сумме числящейся на нем дебиторской задолженности. На балансовых счетах резерв не отражается.</w:t>
      </w:r>
    </w:p>
    <w:p w14:paraId="3DF323E6">
      <w:pPr>
        <w:spacing w:line="240" w:lineRule="auto"/>
        <w:rPr>
          <w:rFonts w:hAnsi="Times New Roman" w:cs="Times New Roman"/>
          <w:color w:val="000000"/>
          <w:sz w:val="24"/>
          <w:szCs w:val="24"/>
        </w:rPr>
      </w:pPr>
      <w:r>
        <w:rPr>
          <w:rFonts w:hAnsi="Times New Roman" w:cs="Times New Roman"/>
          <w:color w:val="000000"/>
          <w:sz w:val="24"/>
          <w:szCs w:val="24"/>
        </w:rPr>
        <w:t>Основание: пункты 7, 21 СГС «Резервы».</w:t>
      </w:r>
    </w:p>
    <w:p w14:paraId="186B3CBF">
      <w:pPr>
        <w:spacing w:line="240" w:lineRule="auto"/>
        <w:rPr>
          <w:rFonts w:hAnsi="Times New Roman" w:cs="Times New Roman"/>
          <w:color w:val="000000"/>
          <w:sz w:val="24"/>
          <w:szCs w:val="24"/>
        </w:rPr>
      </w:pPr>
      <w:r>
        <w:rPr>
          <w:rFonts w:hAnsi="Times New Roman" w:cs="Times New Roman"/>
          <w:b/>
          <w:bCs/>
          <w:color w:val="000000"/>
          <w:sz w:val="24"/>
          <w:szCs w:val="24"/>
        </w:rPr>
        <w:t>11. Санкционирование расходов</w:t>
      </w:r>
    </w:p>
    <w:p w14:paraId="534B2388">
      <w:pPr>
        <w:spacing w:line="240" w:lineRule="auto"/>
        <w:rPr>
          <w:rFonts w:hAnsi="Times New Roman" w:cs="Times New Roman"/>
          <w:color w:val="000000"/>
          <w:sz w:val="24"/>
          <w:szCs w:val="24"/>
        </w:rPr>
      </w:pPr>
      <w:r>
        <w:rPr>
          <w:rFonts w:hAnsi="Times New Roman" w:cs="Times New Roman"/>
          <w:color w:val="000000"/>
          <w:sz w:val="24"/>
          <w:szCs w:val="24"/>
        </w:rPr>
        <w:t>Принятие бюджетных (денежных) обязательств к учету осуществлять в пределах лимитов бюджетных обязательств в порядке, приведенном в приложении 15.</w:t>
      </w:r>
    </w:p>
    <w:p w14:paraId="5ED9F1C5">
      <w:pPr>
        <w:spacing w:line="240" w:lineRule="auto"/>
        <w:rPr>
          <w:rFonts w:hAnsi="Times New Roman" w:cs="Times New Roman"/>
          <w:color w:val="000000"/>
          <w:sz w:val="24"/>
          <w:szCs w:val="24"/>
        </w:rPr>
      </w:pPr>
      <w:r>
        <w:rPr>
          <w:rFonts w:hAnsi="Times New Roman" w:cs="Times New Roman"/>
          <w:b/>
          <w:bCs/>
          <w:color w:val="000000"/>
          <w:sz w:val="24"/>
          <w:szCs w:val="24"/>
        </w:rPr>
        <w:t>12. Представительские расходы</w:t>
      </w:r>
    </w:p>
    <w:p w14:paraId="128EBBB6">
      <w:pPr>
        <w:spacing w:line="240" w:lineRule="auto"/>
        <w:rPr>
          <w:rFonts w:hAnsi="Times New Roman" w:cs="Times New Roman"/>
          <w:color w:val="000000"/>
          <w:sz w:val="24"/>
          <w:szCs w:val="24"/>
        </w:rPr>
      </w:pPr>
      <w:r>
        <w:rPr>
          <w:rFonts w:hAnsi="Times New Roman" w:cs="Times New Roman"/>
          <w:color w:val="000000"/>
          <w:sz w:val="24"/>
          <w:szCs w:val="24"/>
        </w:rPr>
        <w:t>12.1. К представительским расходам относятся расходы, связанные с официальным приемом и обслуживанием представителей других организаций, участвующих в переговорах в целях установления и поддержания сотрудничества, обмена опытом. А именно расходы:</w:t>
      </w:r>
    </w:p>
    <w:p w14:paraId="30158D39">
      <w:pPr>
        <w:numPr>
          <w:ilvl w:val="0"/>
          <w:numId w:val="4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 официальный прием или обслуживание: завтрак, обед или иное аналогичное мероприятие для участников мероприятия;</w:t>
      </w:r>
    </w:p>
    <w:p w14:paraId="4EBB4B7F">
      <w:pPr>
        <w:numPr>
          <w:ilvl w:val="0"/>
          <w:numId w:val="4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буфетное обслуживание во время мероприятия, в том числе обеспечение питьевой водой, напитками;</w:t>
      </w:r>
    </w:p>
    <w:p w14:paraId="76760B36">
      <w:pPr>
        <w:numPr>
          <w:ilvl w:val="0"/>
          <w:numId w:val="4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обеспечение участников канцелярскими принадлежностями;</w:t>
      </w:r>
    </w:p>
    <w:p w14:paraId="547E718A">
      <w:pPr>
        <w:numPr>
          <w:ilvl w:val="0"/>
          <w:numId w:val="4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транспортное обеспечение доставки участников к месту мероприятия и обратно.</w:t>
      </w:r>
    </w:p>
    <w:p w14:paraId="006DF5E0">
      <w:pPr>
        <w:spacing w:line="240" w:lineRule="auto"/>
        <w:rPr>
          <w:rFonts w:hAnsi="Times New Roman" w:cs="Times New Roman"/>
          <w:color w:val="000000"/>
          <w:sz w:val="24"/>
          <w:szCs w:val="24"/>
        </w:rPr>
      </w:pPr>
      <w:r>
        <w:rPr>
          <w:rFonts w:hAnsi="Times New Roman" w:cs="Times New Roman"/>
          <w:color w:val="000000"/>
          <w:sz w:val="24"/>
          <w:szCs w:val="24"/>
        </w:rPr>
        <w:t>12.2. Документами, подтверждающими обоснованность представительских расходов, являются:</w:t>
      </w:r>
    </w:p>
    <w:p w14:paraId="66682C61">
      <w:pPr>
        <w:numPr>
          <w:ilvl w:val="0"/>
          <w:numId w:val="4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приказ руководителя учреждения о проведении мероприятия и назначении ответственного за него;</w:t>
      </w:r>
    </w:p>
    <w:p w14:paraId="77E34252">
      <w:pPr>
        <w:numPr>
          <w:ilvl w:val="0"/>
          <w:numId w:val="4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смета предстоящих расходов на мероприятие;</w:t>
      </w:r>
    </w:p>
    <w:p w14:paraId="002212E5">
      <w:pPr>
        <w:numPr>
          <w:ilvl w:val="0"/>
          <w:numId w:val="4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отчет о представительских расходах, составленный сотрудником, ответственным за мероприятие;</w:t>
      </w:r>
    </w:p>
    <w:p w14:paraId="105B9CF6">
      <w:pPr>
        <w:numPr>
          <w:ilvl w:val="0"/>
          <w:numId w:val="4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первичные документы о произведенных расходах.</w:t>
      </w:r>
    </w:p>
    <w:p w14:paraId="2C21244C">
      <w:pPr>
        <w:spacing w:line="240" w:lineRule="auto"/>
        <w:rPr>
          <w:rFonts w:hAnsi="Times New Roman" w:cs="Times New Roman"/>
          <w:color w:val="000000"/>
          <w:sz w:val="24"/>
          <w:szCs w:val="24"/>
        </w:rPr>
      </w:pPr>
      <w:r>
        <w:rPr>
          <w:rFonts w:hAnsi="Times New Roman" w:cs="Times New Roman"/>
          <w:b/>
          <w:bCs/>
          <w:color w:val="000000"/>
          <w:sz w:val="24"/>
          <w:szCs w:val="24"/>
        </w:rPr>
        <w:t>13. Денежные документы</w:t>
      </w:r>
    </w:p>
    <w:p w14:paraId="3E58362A">
      <w:pPr>
        <w:spacing w:line="240" w:lineRule="auto"/>
        <w:rPr>
          <w:rFonts w:hAnsi="Times New Roman" w:cs="Times New Roman"/>
          <w:color w:val="000000"/>
          <w:sz w:val="24"/>
          <w:szCs w:val="24"/>
        </w:rPr>
      </w:pPr>
      <w:r>
        <w:rPr>
          <w:rFonts w:hAnsi="Times New Roman" w:cs="Times New Roman"/>
          <w:color w:val="000000"/>
          <w:sz w:val="24"/>
          <w:szCs w:val="24"/>
        </w:rPr>
        <w:t>13.1. В составе денежных документов, кроме тех, которые перечислены в пункте 72 СГС «Единый план счетов» № 121н, учреждение учитывает:</w:t>
      </w:r>
    </w:p>
    <w:p w14:paraId="07E75BBA">
      <w:pPr>
        <w:numPr>
          <w:ilvl w:val="0"/>
          <w:numId w:val="4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карты экспресс-оплаты мобильной связи и интернета;</w:t>
      </w:r>
    </w:p>
    <w:p w14:paraId="270B62BF">
      <w:pPr>
        <w:spacing w:line="240" w:lineRule="auto"/>
        <w:rPr>
          <w:rFonts w:hAnsi="Times New Roman" w:cs="Times New Roman"/>
          <w:color w:val="000000"/>
          <w:sz w:val="24"/>
          <w:szCs w:val="24"/>
        </w:rPr>
      </w:pPr>
      <w:r>
        <w:rPr>
          <w:rFonts w:hAnsi="Times New Roman" w:cs="Times New Roman"/>
          <w:color w:val="000000"/>
          <w:sz w:val="24"/>
          <w:szCs w:val="24"/>
        </w:rPr>
        <w:t>13.2. Для отчета об использовании марок и маркированных конвертов подотчетное лицо составляет Реестр использованных марок и маркированных конвертов. Форма реестра утверждается учреждением самостоятельно.</w:t>
      </w:r>
    </w:p>
    <w:p w14:paraId="2619C3B9">
      <w:pPr>
        <w:spacing w:line="240" w:lineRule="auto"/>
        <w:rPr>
          <w:rFonts w:hAnsi="Times New Roman" w:cs="Times New Roman"/>
          <w:color w:val="000000"/>
          <w:sz w:val="24"/>
          <w:szCs w:val="24"/>
        </w:rPr>
      </w:pPr>
      <w:r>
        <w:rPr>
          <w:rFonts w:hAnsi="Times New Roman" w:cs="Times New Roman"/>
          <w:color w:val="000000"/>
          <w:sz w:val="24"/>
          <w:szCs w:val="24"/>
        </w:rPr>
        <w:t>13.3. Выдача талонов фиксируется в Книге учета движения талонов. Форма книги утверждается учреждением самостоятельно.</w:t>
      </w:r>
    </w:p>
    <w:p w14:paraId="65D39F79">
      <w:pPr>
        <w:spacing w:line="240" w:lineRule="auto"/>
        <w:rPr>
          <w:rFonts w:hAnsi="Times New Roman" w:cs="Times New Roman"/>
          <w:color w:val="000000"/>
          <w:sz w:val="24"/>
          <w:szCs w:val="24"/>
        </w:rPr>
      </w:pPr>
      <w:r>
        <w:rPr>
          <w:rFonts w:hAnsi="Times New Roman" w:cs="Times New Roman"/>
          <w:b/>
          <w:bCs/>
          <w:color w:val="000000"/>
          <w:sz w:val="24"/>
          <w:szCs w:val="24"/>
        </w:rPr>
        <w:t>14. Целевые средства</w:t>
      </w:r>
    </w:p>
    <w:p w14:paraId="64200385">
      <w:pPr>
        <w:spacing w:line="240" w:lineRule="auto"/>
        <w:rPr>
          <w:rFonts w:hAnsi="Times New Roman" w:cs="Times New Roman"/>
          <w:color w:val="000000"/>
          <w:sz w:val="24"/>
          <w:szCs w:val="24"/>
        </w:rPr>
      </w:pPr>
      <w:r>
        <w:rPr>
          <w:rFonts w:hAnsi="Times New Roman" w:cs="Times New Roman"/>
          <w:color w:val="000000"/>
          <w:sz w:val="24"/>
          <w:szCs w:val="24"/>
        </w:rPr>
        <w:t>14.1. Расчеты с целевыми поступлениями на забалансовом счете 17 и целевыми выбытиями на забалансовом счете 18 ведутся в разрезе контрагентов, кодов целей и правовых оснований, включая дату исполнения.</w:t>
      </w:r>
    </w:p>
    <w:p w14:paraId="7996DA2D">
      <w:pPr>
        <w:spacing w:line="240" w:lineRule="auto"/>
        <w:rPr>
          <w:rFonts w:hAnsi="Times New Roman" w:cs="Times New Roman"/>
          <w:color w:val="000000"/>
          <w:sz w:val="24"/>
          <w:szCs w:val="24"/>
        </w:rPr>
      </w:pPr>
      <w:r>
        <w:rPr>
          <w:rFonts w:hAnsi="Times New Roman" w:cs="Times New Roman"/>
          <w:b/>
          <w:bCs/>
          <w:color w:val="000000"/>
          <w:sz w:val="24"/>
          <w:szCs w:val="24"/>
        </w:rPr>
        <w:t>15. Порядок расчета двухнедельного среднего заработка</w:t>
      </w:r>
    </w:p>
    <w:p w14:paraId="6504D778">
      <w:pPr>
        <w:spacing w:line="240" w:lineRule="auto"/>
        <w:rPr>
          <w:rFonts w:hAnsi="Times New Roman" w:cs="Times New Roman"/>
          <w:color w:val="000000"/>
          <w:sz w:val="24"/>
          <w:szCs w:val="24"/>
        </w:rPr>
      </w:pPr>
      <w:r>
        <w:rPr>
          <w:rFonts w:hAnsi="Times New Roman" w:cs="Times New Roman"/>
          <w:color w:val="000000"/>
          <w:sz w:val="24"/>
          <w:szCs w:val="24"/>
        </w:rPr>
        <w:t>15.1. В случаях выплаты выходного пособия в размере двухнедельного среднего заработка установленного в статьях 178, 327.7 и 296 ТК РФ установить следующий порядок расчета.</w:t>
      </w:r>
    </w:p>
    <w:p w14:paraId="296B84C9">
      <w:pPr>
        <w:spacing w:line="240" w:lineRule="auto"/>
        <w:rPr>
          <w:rFonts w:hAnsi="Times New Roman" w:cs="Times New Roman"/>
          <w:color w:val="000000"/>
          <w:sz w:val="24"/>
          <w:szCs w:val="24"/>
        </w:rPr>
      </w:pPr>
      <w:r>
        <w:rPr>
          <w:rFonts w:hAnsi="Times New Roman" w:cs="Times New Roman"/>
          <w:color w:val="000000"/>
          <w:sz w:val="24"/>
          <w:szCs w:val="24"/>
        </w:rPr>
        <w:t>Выходное пособие равно произведению среднего дневного (часового) заработка и количества рабочих дней или часов, а также нерабочих праздничных дней в течение двух календарных недель после увольнения (со дня, следующего за днем увольнения).</w:t>
      </w:r>
    </w:p>
    <w:p w14:paraId="6DD97CCA">
      <w:pPr>
        <w:spacing w:line="240" w:lineRule="auto"/>
        <w:rPr>
          <w:rFonts w:hAnsi="Times New Roman" w:cs="Times New Roman"/>
          <w:color w:val="000000"/>
          <w:sz w:val="24"/>
          <w:szCs w:val="24"/>
        </w:rPr>
      </w:pPr>
      <w:r>
        <w:rPr>
          <w:rFonts w:hAnsi="Times New Roman" w:cs="Times New Roman"/>
          <w:color w:val="000000"/>
          <w:sz w:val="24"/>
          <w:szCs w:val="24"/>
        </w:rPr>
        <w:t>При обычном графике работы использовать для расчета дни, при суммированном учете рабочего времени – часы по графику 40-часовой рабочей недели.</w:t>
      </w:r>
    </w:p>
    <w:p w14:paraId="2F1944D8">
      <w:pPr>
        <w:spacing w:line="600" w:lineRule="atLeast"/>
        <w:rPr>
          <w:b/>
          <w:bCs/>
          <w:color w:val="252525"/>
          <w:spacing w:val="-2"/>
          <w:sz w:val="42"/>
          <w:szCs w:val="42"/>
        </w:rPr>
      </w:pPr>
      <w:r>
        <w:rPr>
          <w:b/>
          <w:bCs/>
          <w:color w:val="252525"/>
          <w:spacing w:val="-2"/>
          <w:sz w:val="24"/>
          <w:szCs w:val="24"/>
        </w:rPr>
        <w:t>VI. Инвентаризация</w:t>
      </w:r>
    </w:p>
    <w:p w14:paraId="6F5751EE">
      <w:pPr>
        <w:spacing w:line="240" w:lineRule="auto"/>
        <w:rPr>
          <w:rFonts w:hAnsi="Times New Roman" w:cs="Times New Roman"/>
          <w:color w:val="000000"/>
          <w:sz w:val="24"/>
          <w:szCs w:val="24"/>
        </w:rPr>
      </w:pPr>
      <w:r>
        <w:rPr>
          <w:rFonts w:hAnsi="Times New Roman" w:cs="Times New Roman"/>
          <w:color w:val="000000"/>
          <w:sz w:val="24"/>
          <w:szCs w:val="24"/>
        </w:rPr>
        <w:t>1. Инвентаризацию имущества и обязательств (в том числе числящихся на забалансовых счетах), а также финансовых результатов (в том числе расходов будущих периодов и резервов) проводит постоянно действующая инвентаризационная комиссия. Порядок и график проведения инвентаризации приведены в приложении 17.</w:t>
      </w:r>
      <w:r>
        <w:br w:type="textWrapping"/>
      </w:r>
      <w:r>
        <w:rPr>
          <w:rFonts w:hAnsi="Times New Roman" w:cs="Times New Roman"/>
          <w:color w:val="000000"/>
          <w:sz w:val="24"/>
          <w:szCs w:val="24"/>
        </w:rPr>
        <w:t>Основание: статья 11 Закона от 06.12.2011 № 402-ФЗ, пункт 9 СГС «Учетная политика, оценочные значения и ошибки».</w:t>
      </w:r>
    </w:p>
    <w:p w14:paraId="3064B6A8">
      <w:pPr>
        <w:spacing w:line="240" w:lineRule="auto"/>
        <w:rPr>
          <w:rFonts w:hAnsi="Times New Roman" w:cs="Times New Roman"/>
          <w:color w:val="000000"/>
          <w:sz w:val="24"/>
          <w:szCs w:val="24"/>
        </w:rPr>
      </w:pPr>
      <w:r>
        <w:rPr>
          <w:rFonts w:hAnsi="Times New Roman" w:cs="Times New Roman"/>
          <w:color w:val="000000"/>
          <w:sz w:val="24"/>
          <w:szCs w:val="24"/>
        </w:rPr>
        <w:t>2. Состав комиссии для проведения внезапной ревизии кассы приведен в приложении 4.</w:t>
      </w:r>
    </w:p>
    <w:p w14:paraId="4D1B6D7A">
      <w:pPr>
        <w:spacing w:line="240" w:lineRule="auto"/>
        <w:rPr>
          <w:rFonts w:hAnsi="Times New Roman" w:cs="Times New Roman"/>
          <w:color w:val="000000"/>
          <w:sz w:val="24"/>
          <w:szCs w:val="24"/>
        </w:rPr>
      </w:pPr>
      <w:r>
        <w:rPr>
          <w:rFonts w:hAnsi="Times New Roman" w:cs="Times New Roman"/>
          <w:color w:val="000000"/>
          <w:sz w:val="24"/>
          <w:szCs w:val="24"/>
        </w:rPr>
        <w:t>3. Руководителями обособленных структурных подразделений создаются инвентаризационные комиссии из числа сотрудников подразделения приказом по подразделению.</w:t>
      </w:r>
    </w:p>
    <w:p w14:paraId="30013666">
      <w:pPr>
        <w:spacing w:line="240" w:lineRule="auto"/>
        <w:rPr>
          <w:rFonts w:hAnsi="Times New Roman" w:cs="Times New Roman"/>
          <w:color w:val="000000"/>
          <w:sz w:val="24"/>
          <w:szCs w:val="24"/>
        </w:rPr>
      </w:pPr>
      <w:r>
        <w:rPr>
          <w:rFonts w:hAnsi="Times New Roman" w:cs="Times New Roman"/>
          <w:color w:val="000000"/>
          <w:sz w:val="24"/>
          <w:szCs w:val="24"/>
        </w:rPr>
        <w:t>4. Результаты любых инвентаризаций, проведенных в период с 1 октября и до годовой отчетности, в том числе по причинам, не связанным с подготовкой к годовой отчетности, например при смене МОЛ или недостаче, признаются достаточными для подтверждения достоверности годовой отчетности.</w:t>
      </w:r>
    </w:p>
    <w:p w14:paraId="07F23DAC">
      <w:pPr>
        <w:spacing w:line="600" w:lineRule="atLeast"/>
        <w:rPr>
          <w:b/>
          <w:bCs/>
          <w:color w:val="252525"/>
          <w:spacing w:val="-2"/>
          <w:sz w:val="42"/>
          <w:szCs w:val="42"/>
        </w:rPr>
      </w:pPr>
      <w:r>
        <w:rPr>
          <w:b/>
          <w:bCs/>
          <w:color w:val="252525"/>
          <w:spacing w:val="-2"/>
          <w:sz w:val="24"/>
          <w:szCs w:val="24"/>
        </w:rPr>
        <w:t>VII. Порядок организации и обеспечения внутреннего финансового контроля</w:t>
      </w:r>
    </w:p>
    <w:p w14:paraId="52F3026E">
      <w:pPr>
        <w:rPr>
          <w:rFonts w:hint="default"/>
          <w:lang w:val="ru-RU"/>
        </w:rPr>
      </w:pPr>
      <w:r>
        <w:t xml:space="preserve"> Внутренний финансовый контроль в учреждении осуществляет</w:t>
      </w:r>
      <w:r>
        <w:rPr>
          <w:lang w:val="ru-RU"/>
        </w:rPr>
        <w:t>ся</w:t>
      </w:r>
      <w:r>
        <w:rPr>
          <w:rFonts w:hint="default"/>
          <w:lang w:val="ru-RU"/>
        </w:rPr>
        <w:t xml:space="preserve"> на основании ведомственного стандарта внутреннего муниципального финансового контроля утвержденного постановлением Администрации Парамоновского сельского поселения от 26.12.2022г №76.</w:t>
      </w:r>
    </w:p>
    <w:p w14:paraId="6A844E2E">
      <w:pPr>
        <w:spacing w:line="240" w:lineRule="auto"/>
        <w:rPr>
          <w:rFonts w:hAnsi="Times New Roman" w:cs="Times New Roman"/>
          <w:color w:val="000000"/>
          <w:sz w:val="24"/>
          <w:szCs w:val="24"/>
        </w:rPr>
      </w:pPr>
      <w:r>
        <w:rPr>
          <w:rFonts w:hAnsi="Times New Roman" w:cs="Times New Roman"/>
          <w:color w:val="000000"/>
          <w:sz w:val="24"/>
          <w:szCs w:val="24"/>
        </w:rPr>
        <w:t>Основание: подпункт «е» пункта 9 СГС «Учетная политика, оценочные значения и ошибки».</w:t>
      </w:r>
    </w:p>
    <w:p w14:paraId="629D3099">
      <w:pPr>
        <w:spacing w:line="600" w:lineRule="atLeast"/>
        <w:rPr>
          <w:b/>
          <w:bCs/>
          <w:color w:val="252525"/>
          <w:spacing w:val="-2"/>
          <w:sz w:val="24"/>
          <w:szCs w:val="24"/>
        </w:rPr>
      </w:pPr>
      <w:r>
        <w:rPr>
          <w:b/>
          <w:bCs/>
          <w:color w:val="252525"/>
          <w:spacing w:val="-2"/>
          <w:sz w:val="24"/>
          <w:szCs w:val="24"/>
        </w:rPr>
        <w:t>VIII. События после отчетной даты</w:t>
      </w:r>
    </w:p>
    <w:p w14:paraId="3C04FDD1">
      <w:pPr>
        <w:spacing w:line="240" w:lineRule="auto"/>
        <w:rPr>
          <w:rFonts w:hAnsi="Times New Roman" w:cs="Times New Roman"/>
          <w:color w:val="000000"/>
          <w:sz w:val="24"/>
          <w:szCs w:val="24"/>
        </w:rPr>
      </w:pPr>
      <w:r>
        <w:rPr>
          <w:rFonts w:hAnsi="Times New Roman" w:cs="Times New Roman"/>
          <w:color w:val="000000"/>
          <w:sz w:val="24"/>
          <w:szCs w:val="24"/>
        </w:rPr>
        <w:t>Признание в учете и раскрытие в бюджетной отчетности событий после отчетной даты осуществляется в порядке, приведенном в приложении 16.</w:t>
      </w:r>
    </w:p>
    <w:p w14:paraId="3462A28E">
      <w:pPr>
        <w:spacing w:line="600" w:lineRule="atLeast"/>
        <w:rPr>
          <w:b/>
          <w:bCs/>
          <w:color w:val="252525"/>
          <w:spacing w:val="-2"/>
          <w:sz w:val="24"/>
          <w:szCs w:val="24"/>
        </w:rPr>
      </w:pPr>
      <w:r>
        <w:rPr>
          <w:b/>
          <w:bCs/>
          <w:color w:val="252525"/>
          <w:spacing w:val="-2"/>
          <w:sz w:val="24"/>
          <w:szCs w:val="24"/>
        </w:rPr>
        <w:t>IX. Бухгалтерская (финансовая) отчетность</w:t>
      </w:r>
    </w:p>
    <w:p w14:paraId="340F7E3C">
      <w:pPr>
        <w:spacing w:line="240" w:lineRule="auto"/>
        <w:rPr>
          <w:rFonts w:hAnsi="Times New Roman" w:cs="Times New Roman"/>
          <w:color w:val="000000"/>
          <w:sz w:val="24"/>
          <w:szCs w:val="24"/>
        </w:rPr>
      </w:pPr>
      <w:r>
        <w:rPr>
          <w:rFonts w:hAnsi="Times New Roman" w:cs="Times New Roman"/>
          <w:color w:val="000000"/>
          <w:sz w:val="24"/>
          <w:szCs w:val="24"/>
        </w:rPr>
        <w:t>1. Бюджетная отчетность составляется на основании аналитического и синтетического учета по формам, в объеме и в сроки, установленные вышестоящей организацией и бюджетным законодательством (приказ Минфина от 28.12.2010 № 191н). Бюджетная отчетность представляется главному распорядителю бюджетных средств в установленные им сроки.</w:t>
      </w:r>
    </w:p>
    <w:p w14:paraId="0FFDA6C0">
      <w:pPr>
        <w:spacing w:line="240" w:lineRule="auto"/>
        <w:rPr>
          <w:rFonts w:hAnsi="Times New Roman" w:cs="Times New Roman"/>
          <w:color w:val="000000"/>
          <w:sz w:val="24"/>
          <w:szCs w:val="24"/>
        </w:rPr>
      </w:pPr>
      <w:r>
        <w:rPr>
          <w:rFonts w:hAnsi="Times New Roman" w:cs="Times New Roman"/>
          <w:color w:val="000000"/>
          <w:sz w:val="24"/>
          <w:szCs w:val="24"/>
        </w:rPr>
        <w:t>Для обособленных структурных подразделений, наделенных частичными полномочиями юридического лица, устанавливаются следующие сроки представления бюджетной отчетности:</w:t>
      </w:r>
    </w:p>
    <w:p w14:paraId="14655134">
      <w:pPr>
        <w:numPr>
          <w:ilvl w:val="0"/>
          <w:numId w:val="4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квартальные – до 10-го числа месяца, следующего за отчетным периодом;</w:t>
      </w:r>
    </w:p>
    <w:p w14:paraId="0917539A">
      <w:pPr>
        <w:numPr>
          <w:ilvl w:val="0"/>
          <w:numId w:val="4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годовой – до 17 января года, следующего за отчетным годом.</w:t>
      </w:r>
    </w:p>
    <w:p w14:paraId="5AA721BD">
      <w:pPr>
        <w:spacing w:line="240" w:lineRule="auto"/>
        <w:rPr>
          <w:rFonts w:hAnsi="Times New Roman" w:cs="Times New Roman"/>
          <w:color w:val="000000"/>
          <w:sz w:val="24"/>
          <w:szCs w:val="24"/>
        </w:rPr>
      </w:pPr>
      <w:r>
        <w:rPr>
          <w:rFonts w:hAnsi="Times New Roman" w:cs="Times New Roman"/>
          <w:color w:val="000000"/>
          <w:sz w:val="24"/>
          <w:szCs w:val="24"/>
        </w:rPr>
        <w:t>Обособленные структурные подразделения представляют отчетность главному бухгалтеру учреждения.</w:t>
      </w:r>
    </w:p>
    <w:p w14:paraId="16E35831">
      <w:pPr>
        <w:spacing w:line="240" w:lineRule="auto"/>
        <w:rPr>
          <w:rFonts w:hAnsi="Times New Roman" w:cs="Times New Roman"/>
          <w:color w:val="000000"/>
          <w:sz w:val="24"/>
          <w:szCs w:val="24"/>
        </w:rPr>
      </w:pPr>
      <w:r>
        <w:rPr>
          <w:rFonts w:hAnsi="Times New Roman" w:cs="Times New Roman"/>
          <w:color w:val="000000"/>
          <w:sz w:val="24"/>
          <w:szCs w:val="24"/>
        </w:rPr>
        <w:t>2.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 оттоками.</w:t>
      </w:r>
    </w:p>
    <w:p w14:paraId="4D8C892E">
      <w:pPr>
        <w:spacing w:line="240" w:lineRule="auto"/>
        <w:rPr>
          <w:rFonts w:hAnsi="Times New Roman" w:cs="Times New Roman"/>
          <w:color w:val="000000"/>
          <w:sz w:val="24"/>
          <w:szCs w:val="24"/>
        </w:rPr>
      </w:pPr>
      <w:r>
        <w:rPr>
          <w:rFonts w:hAnsi="Times New Roman" w:cs="Times New Roman"/>
          <w:color w:val="000000"/>
          <w:sz w:val="24"/>
          <w:szCs w:val="24"/>
        </w:rPr>
        <w:t>Основание: пункт 19 СГС «Отчет о движении денежных средств».</w:t>
      </w:r>
    </w:p>
    <w:p w14:paraId="13C2144E">
      <w:pPr>
        <w:spacing w:line="240" w:lineRule="auto"/>
        <w:rPr>
          <w:rFonts w:hAnsi="Times New Roman" w:cs="Times New Roman"/>
          <w:color w:val="000000"/>
          <w:sz w:val="24"/>
          <w:szCs w:val="24"/>
        </w:rPr>
      </w:pPr>
      <w:r>
        <w:rPr>
          <w:rFonts w:hAnsi="Times New Roman" w:cs="Times New Roman"/>
          <w:color w:val="000000"/>
          <w:sz w:val="24"/>
          <w:szCs w:val="24"/>
        </w:rPr>
        <w:t>3. Бюджетная отчетность формируется и хранится в виде электронного документа в информационной системе «</w:t>
      </w:r>
      <w:r>
        <w:rPr>
          <w:rFonts w:hAnsi="Times New Roman" w:cs="Times New Roman"/>
          <w:color w:val="000000"/>
          <w:sz w:val="24"/>
          <w:szCs w:val="24"/>
          <w:lang w:val="ru-RU"/>
        </w:rPr>
        <w:t>СВОД</w:t>
      </w:r>
      <w:r>
        <w:rPr>
          <w:rFonts w:hint="default" w:hAnsi="Times New Roman" w:cs="Times New Roman"/>
          <w:color w:val="000000"/>
          <w:sz w:val="24"/>
          <w:szCs w:val="24"/>
          <w:lang w:val="ru-RU"/>
        </w:rPr>
        <w:t>-СМАРТ</w:t>
      </w:r>
      <w:r>
        <w:rPr>
          <w:rFonts w:hAnsi="Times New Roman" w:cs="Times New Roman"/>
          <w:color w:val="000000"/>
          <w:sz w:val="24"/>
          <w:szCs w:val="24"/>
        </w:rPr>
        <w:t>». Бумажная копия комплекта отчетности хранится у главного бухгалтера.</w:t>
      </w:r>
    </w:p>
    <w:p w14:paraId="344FB2E8">
      <w:pPr>
        <w:spacing w:line="240" w:lineRule="auto"/>
        <w:rPr>
          <w:rFonts w:hAnsi="Times New Roman" w:cs="Times New Roman"/>
          <w:color w:val="000000"/>
          <w:sz w:val="24"/>
          <w:szCs w:val="24"/>
        </w:rPr>
      </w:pPr>
      <w:r>
        <w:rPr>
          <w:rFonts w:hAnsi="Times New Roman" w:cs="Times New Roman"/>
          <w:color w:val="000000"/>
          <w:sz w:val="24"/>
          <w:szCs w:val="24"/>
        </w:rPr>
        <w:t>Основание: часть 7.1 статьи 13 Закона от 06.12.2011 № 402-ФЗ.</w:t>
      </w:r>
    </w:p>
    <w:p w14:paraId="2C09A25B">
      <w:pPr>
        <w:spacing w:line="240" w:lineRule="auto"/>
        <w:rPr>
          <w:rFonts w:hAnsi="Times New Roman" w:cs="Times New Roman"/>
          <w:color w:val="000000"/>
          <w:sz w:val="24"/>
          <w:szCs w:val="24"/>
        </w:rPr>
      </w:pPr>
      <w:r>
        <w:rPr>
          <w:rFonts w:hAnsi="Times New Roman" w:cs="Times New Roman"/>
          <w:color w:val="000000"/>
          <w:sz w:val="24"/>
          <w:szCs w:val="24"/>
        </w:rPr>
        <w:t>4. В целях раскрытия в годовой бухгалтерской отчетности информации о юридических и физических лицах, на деятельность которых учреждение способно оказывать влияние или которые способны оказывать влияние на деятельность учреждения (далее – связанные стороны), а также об операциях со связанными сторонами сотрудник, назначенный приказом руководителя, представляет в бухгалтерию состав связанных сторон на 1 января года, следующего за отчетным.</w:t>
      </w:r>
    </w:p>
    <w:p w14:paraId="45B6C47B">
      <w:pPr>
        <w:spacing w:line="240" w:lineRule="auto"/>
        <w:rPr>
          <w:rFonts w:hAnsi="Times New Roman" w:cs="Times New Roman"/>
          <w:color w:val="000000"/>
          <w:sz w:val="24"/>
          <w:szCs w:val="24"/>
        </w:rPr>
      </w:pPr>
      <w:r>
        <w:rPr>
          <w:rFonts w:hAnsi="Times New Roman" w:cs="Times New Roman"/>
          <w:color w:val="000000"/>
          <w:sz w:val="24"/>
          <w:szCs w:val="24"/>
        </w:rPr>
        <w:t>Срок представления информации – не позднее первого рабочего дня года, следующего за отчетным.</w:t>
      </w:r>
    </w:p>
    <w:p w14:paraId="2E0A18D0">
      <w:pPr>
        <w:spacing w:line="240" w:lineRule="auto"/>
        <w:rPr>
          <w:rFonts w:hAnsi="Times New Roman" w:cs="Times New Roman"/>
          <w:color w:val="000000"/>
          <w:sz w:val="24"/>
          <w:szCs w:val="24"/>
        </w:rPr>
      </w:pPr>
      <w:r>
        <w:rPr>
          <w:rFonts w:hAnsi="Times New Roman" w:cs="Times New Roman"/>
          <w:color w:val="000000"/>
          <w:sz w:val="24"/>
          <w:szCs w:val="24"/>
        </w:rPr>
        <w:t>Основание: пункты 7, 8 СГС «Информация о связанных сторонах».</w:t>
      </w:r>
    </w:p>
    <w:p w14:paraId="06E89778">
      <w:pPr>
        <w:spacing w:line="240" w:lineRule="auto"/>
        <w:rPr>
          <w:rFonts w:hAnsi="Times New Roman" w:cs="Times New Roman"/>
          <w:color w:val="000000"/>
          <w:sz w:val="24"/>
          <w:szCs w:val="24"/>
        </w:rPr>
      </w:pPr>
      <w:r>
        <w:rPr>
          <w:rFonts w:hAnsi="Times New Roman" w:cs="Times New Roman"/>
          <w:color w:val="000000"/>
          <w:sz w:val="24"/>
          <w:szCs w:val="24"/>
        </w:rPr>
        <w:t>Информацию с составом связанных сторон ответственный сотрудник представляет в свободной форме, с указанием следующих реквизитов:</w:t>
      </w:r>
    </w:p>
    <w:p w14:paraId="04D4CA23">
      <w:pPr>
        <w:numPr>
          <w:ilvl w:val="0"/>
          <w:numId w:val="4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полное наименование юридического лица или фамилия, имя, отчество (если имеется) физического лица, являющегося связанной стороной;</w:t>
      </w:r>
    </w:p>
    <w:p w14:paraId="568FEC64">
      <w:pPr>
        <w:numPr>
          <w:ilvl w:val="0"/>
          <w:numId w:val="4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ИНН связанной стороны;</w:t>
      </w:r>
    </w:p>
    <w:p w14:paraId="6ADA262D">
      <w:pPr>
        <w:numPr>
          <w:ilvl w:val="0"/>
          <w:numId w:val="4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тип организации. Для физического лица указывается «физическое лицо»;</w:t>
      </w:r>
    </w:p>
    <w:p w14:paraId="693711FA">
      <w:pPr>
        <w:numPr>
          <w:ilvl w:val="0"/>
          <w:numId w:val="4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основание, в силу которого лицо признается связанной стороной (исключается из состава связанных сторон);</w:t>
      </w:r>
    </w:p>
    <w:p w14:paraId="52CF19AA">
      <w:pPr>
        <w:numPr>
          <w:ilvl w:val="0"/>
          <w:numId w:val="45"/>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дата включения (исключения) в перечень связанных сторон. Дата указывается в формате «ММ.ГГГГ».</w:t>
      </w:r>
    </w:p>
    <w:p w14:paraId="0B1AA6CC">
      <w:pPr>
        <w:spacing w:line="240" w:lineRule="auto"/>
        <w:rPr>
          <w:rFonts w:hAnsi="Times New Roman" w:cs="Times New Roman"/>
          <w:color w:val="000000"/>
          <w:sz w:val="24"/>
          <w:szCs w:val="24"/>
        </w:rPr>
      </w:pPr>
      <w:r>
        <w:rPr>
          <w:rFonts w:hAnsi="Times New Roman" w:cs="Times New Roman"/>
          <w:color w:val="000000"/>
          <w:sz w:val="24"/>
          <w:szCs w:val="24"/>
        </w:rPr>
        <w:t>Состав связанных сторон не представляется, если на отчетную дату и в течение отчетного года связанных сторон не было. Ответственный сотрудник информирует главного бухгалтера об отсутствии связанных сторон служебной запиской в срок не позднее первого рабочего дня года, следующего за отчетным.</w:t>
      </w:r>
    </w:p>
    <w:p w14:paraId="13A94727">
      <w:pPr>
        <w:spacing w:line="600" w:lineRule="atLeast"/>
        <w:rPr>
          <w:b/>
          <w:bCs/>
          <w:color w:val="252525"/>
          <w:spacing w:val="-2"/>
          <w:sz w:val="24"/>
          <w:szCs w:val="24"/>
        </w:rPr>
      </w:pPr>
      <w:r>
        <w:rPr>
          <w:b/>
          <w:bCs/>
          <w:color w:val="252525"/>
          <w:spacing w:val="-2"/>
          <w:sz w:val="24"/>
          <w:szCs w:val="24"/>
        </w:rPr>
        <w:t>X. Порядок передачи документов бухгалтерского учета при смене руководителя</w:t>
      </w:r>
      <w:r>
        <w:rPr>
          <w:rFonts w:hint="default"/>
          <w:b/>
          <w:bCs/>
          <w:color w:val="252525"/>
          <w:spacing w:val="-2"/>
          <w:sz w:val="24"/>
          <w:szCs w:val="24"/>
          <w:lang w:val="ru-RU"/>
        </w:rPr>
        <w:t xml:space="preserve"> </w:t>
      </w:r>
      <w:r>
        <w:rPr>
          <w:b/>
          <w:bCs/>
          <w:color w:val="252525"/>
          <w:spacing w:val="-2"/>
          <w:sz w:val="24"/>
          <w:szCs w:val="24"/>
        </w:rPr>
        <w:t>или главного бухгалтера</w:t>
      </w:r>
    </w:p>
    <w:p w14:paraId="09D1E036">
      <w:pPr>
        <w:spacing w:line="240" w:lineRule="auto"/>
        <w:rPr>
          <w:rFonts w:hAnsi="Times New Roman" w:cs="Times New Roman"/>
          <w:color w:val="000000"/>
          <w:sz w:val="24"/>
          <w:szCs w:val="24"/>
        </w:rPr>
      </w:pPr>
      <w:r>
        <w:rPr>
          <w:rFonts w:hAnsi="Times New Roman" w:cs="Times New Roman"/>
          <w:color w:val="000000"/>
          <w:sz w:val="24"/>
          <w:szCs w:val="24"/>
        </w:rPr>
        <w:t>1.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бухгалтерии.</w:t>
      </w:r>
    </w:p>
    <w:p w14:paraId="5B97B4DF">
      <w:pPr>
        <w:spacing w:line="240" w:lineRule="auto"/>
        <w:rPr>
          <w:rFonts w:hAnsi="Times New Roman" w:cs="Times New Roman"/>
          <w:color w:val="000000"/>
          <w:sz w:val="24"/>
          <w:szCs w:val="24"/>
        </w:rPr>
      </w:pPr>
      <w:r>
        <w:rPr>
          <w:rFonts w:hAnsi="Times New Roman" w:cs="Times New Roman"/>
          <w:color w:val="000000"/>
          <w:sz w:val="24"/>
          <w:szCs w:val="24"/>
        </w:rPr>
        <w:t>2. Передача бухгалтерских документов и печатей проводится на основании приказа руководителя учреждения, осуществляющего функции и полномочия учредителя (далее – учредитель).</w:t>
      </w:r>
    </w:p>
    <w:p w14:paraId="738B2998">
      <w:pPr>
        <w:spacing w:line="240" w:lineRule="auto"/>
        <w:rPr>
          <w:rFonts w:hAnsi="Times New Roman" w:cs="Times New Roman"/>
          <w:color w:val="000000"/>
          <w:sz w:val="24"/>
          <w:szCs w:val="24"/>
        </w:rPr>
      </w:pPr>
      <w:r>
        <w:rPr>
          <w:rFonts w:hAnsi="Times New Roman" w:cs="Times New Roman"/>
          <w:color w:val="000000"/>
          <w:sz w:val="24"/>
          <w:szCs w:val="24"/>
        </w:rPr>
        <w:t>3. Передача документов бухучета, печатей и штампов осуществляется при участии комиссии, создаваемой в учреждении.</w:t>
      </w:r>
    </w:p>
    <w:p w14:paraId="5B83A520">
      <w:pPr>
        <w:spacing w:line="240" w:lineRule="auto"/>
        <w:rPr>
          <w:rFonts w:hAnsi="Times New Roman" w:cs="Times New Roman"/>
          <w:color w:val="000000"/>
          <w:sz w:val="24"/>
          <w:szCs w:val="24"/>
        </w:rPr>
      </w:pPr>
      <w:r>
        <w:rPr>
          <w:rFonts w:hAnsi="Times New Roman" w:cs="Times New Roman"/>
          <w:color w:val="000000"/>
          <w:sz w:val="24"/>
          <w:szCs w:val="24"/>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 с указанием их количества и типа.</w:t>
      </w:r>
    </w:p>
    <w:p w14:paraId="130EF21F">
      <w:pPr>
        <w:spacing w:line="240" w:lineRule="auto"/>
        <w:rPr>
          <w:rFonts w:hAnsi="Times New Roman" w:cs="Times New Roman"/>
          <w:color w:val="000000"/>
          <w:sz w:val="24"/>
          <w:szCs w:val="24"/>
        </w:rPr>
      </w:pPr>
      <w:r>
        <w:rPr>
          <w:rFonts w:hAnsi="Times New Roman" w:cs="Times New Roman"/>
          <w:color w:val="000000"/>
          <w:sz w:val="24"/>
          <w:szCs w:val="24"/>
        </w:rPr>
        <w:t>Акт приема-передачи дел должен полностью отражать все существенные недостатки и нарушения в организации работы бухгалтерии.</w:t>
      </w:r>
    </w:p>
    <w:p w14:paraId="2B398A5B">
      <w:pPr>
        <w:spacing w:line="240" w:lineRule="auto"/>
        <w:rPr>
          <w:rFonts w:hAnsi="Times New Roman" w:cs="Times New Roman"/>
          <w:color w:val="000000"/>
          <w:sz w:val="24"/>
          <w:szCs w:val="24"/>
        </w:rPr>
      </w:pPr>
      <w:r>
        <w:rPr>
          <w:rFonts w:hAnsi="Times New Roman" w:cs="Times New Roman"/>
          <w:color w:val="000000"/>
          <w:sz w:val="24"/>
          <w:szCs w:val="24"/>
        </w:rPr>
        <w:t>Акт приема-передачи подписывается уполномоченным лицом, принимающим дела, и членами комиссии.</w:t>
      </w:r>
    </w:p>
    <w:p w14:paraId="0F95972F">
      <w:pPr>
        <w:spacing w:line="240" w:lineRule="auto"/>
        <w:rPr>
          <w:rFonts w:hAnsi="Times New Roman" w:cs="Times New Roman"/>
          <w:color w:val="000000"/>
          <w:sz w:val="24"/>
          <w:szCs w:val="24"/>
        </w:rPr>
      </w:pPr>
      <w:r>
        <w:rPr>
          <w:rFonts w:hAnsi="Times New Roman" w:cs="Times New Roman"/>
          <w:color w:val="000000"/>
          <w:sz w:val="24"/>
          <w:szCs w:val="24"/>
        </w:rPr>
        <w:t>При необходимости члены комиссии включают в акт свои рекомендации и предложения, которые возникли при приеме-передаче дел.</w:t>
      </w:r>
    </w:p>
    <w:p w14:paraId="4D4AC5BE">
      <w:pPr>
        <w:spacing w:line="240" w:lineRule="auto"/>
        <w:rPr>
          <w:rFonts w:hAnsi="Times New Roman" w:cs="Times New Roman"/>
          <w:color w:val="000000"/>
          <w:sz w:val="24"/>
          <w:szCs w:val="24"/>
        </w:rPr>
      </w:pPr>
      <w:r>
        <w:rPr>
          <w:rFonts w:hAnsi="Times New Roman" w:cs="Times New Roman"/>
          <w:color w:val="000000"/>
          <w:sz w:val="24"/>
          <w:szCs w:val="24"/>
        </w:rPr>
        <w:t>4. В комиссию, указанную в пункте 3 настоящего Порядка, включаются сотрудники учреждения и (или) учредителя в соответствии с приказом на передачу бухгалтерских документов.</w:t>
      </w:r>
    </w:p>
    <w:p w14:paraId="4CD8F593">
      <w:pPr>
        <w:spacing w:line="240" w:lineRule="auto"/>
        <w:rPr>
          <w:rFonts w:hAnsi="Times New Roman" w:cs="Times New Roman"/>
          <w:color w:val="000000"/>
          <w:sz w:val="24"/>
          <w:szCs w:val="24"/>
        </w:rPr>
      </w:pPr>
      <w:r>
        <w:rPr>
          <w:rFonts w:hAnsi="Times New Roman" w:cs="Times New Roman"/>
          <w:color w:val="000000"/>
          <w:sz w:val="24"/>
          <w:szCs w:val="24"/>
        </w:rPr>
        <w:t>5. Передаются следующие документы:</w:t>
      </w:r>
    </w:p>
    <w:p w14:paraId="20142882">
      <w:pPr>
        <w:numPr>
          <w:ilvl w:val="0"/>
          <w:numId w:val="4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учетная политика со всеми приложениями;</w:t>
      </w:r>
    </w:p>
    <w:p w14:paraId="4B8F13C4">
      <w:pPr>
        <w:numPr>
          <w:ilvl w:val="0"/>
          <w:numId w:val="4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квартальные и годовые бухгалтерские отчеты и балансы, налоговые декларации;</w:t>
      </w:r>
    </w:p>
    <w:p w14:paraId="35D2C920">
      <w:pPr>
        <w:numPr>
          <w:ilvl w:val="0"/>
          <w:numId w:val="4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 планированию, в том числе бюджетная смета учреждения, план-график закупок, обоснования к планам;</w:t>
      </w:r>
    </w:p>
    <w:p w14:paraId="73EC42C0">
      <w:pPr>
        <w:numPr>
          <w:ilvl w:val="0"/>
          <w:numId w:val="4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бухгалтерские регистры синтетического и аналитического учета: книги, оборотные ведомости, карточки, журналы операций;</w:t>
      </w:r>
    </w:p>
    <w:p w14:paraId="7F9B7647">
      <w:pPr>
        <w:numPr>
          <w:ilvl w:val="0"/>
          <w:numId w:val="4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налоговые регистры;</w:t>
      </w:r>
    </w:p>
    <w:p w14:paraId="6C16A307">
      <w:pPr>
        <w:numPr>
          <w:ilvl w:val="0"/>
          <w:numId w:val="4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 задолженности учреждения, в том числе по уплате налогов;</w:t>
      </w:r>
    </w:p>
    <w:p w14:paraId="296D81CB">
      <w:pPr>
        <w:numPr>
          <w:ilvl w:val="0"/>
          <w:numId w:val="4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 состоянии лицевых счетов учреждения;</w:t>
      </w:r>
    </w:p>
    <w:p w14:paraId="6DEC6952">
      <w:pPr>
        <w:numPr>
          <w:ilvl w:val="0"/>
          <w:numId w:val="4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 учету зарплаты и по персонифицированному учету;</w:t>
      </w:r>
    </w:p>
    <w:p w14:paraId="79027125">
      <w:pPr>
        <w:numPr>
          <w:ilvl w:val="0"/>
          <w:numId w:val="4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 кассе: кассовые книги, журналы, расходные и приходные кассовые ордера,</w:t>
      </w:r>
      <w:r>
        <w:br w:type="textWrapping"/>
      </w:r>
      <w:r>
        <w:rPr>
          <w:rFonts w:hAnsi="Times New Roman" w:cs="Times New Roman"/>
          <w:color w:val="000000"/>
          <w:sz w:val="24"/>
          <w:szCs w:val="24"/>
        </w:rPr>
        <w:t>денежные документы и т. д.;</w:t>
      </w:r>
    </w:p>
    <w:p w14:paraId="7D3021CD">
      <w:pPr>
        <w:numPr>
          <w:ilvl w:val="0"/>
          <w:numId w:val="4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акт о состоянии кассы, составленный на основании ревизии кассы и скрепленный подписью главного бухгалтера;</w:t>
      </w:r>
    </w:p>
    <w:p w14:paraId="224FB98E">
      <w:pPr>
        <w:numPr>
          <w:ilvl w:val="0"/>
          <w:numId w:val="4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 условиях хранения и учета наличных денежных средств;</w:t>
      </w:r>
    </w:p>
    <w:p w14:paraId="038249DA">
      <w:pPr>
        <w:numPr>
          <w:ilvl w:val="0"/>
          <w:numId w:val="4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договоры с поставщиками и подрядчиками, контрагентами, аренды и т. д.;</w:t>
      </w:r>
    </w:p>
    <w:p w14:paraId="5BCD12AF">
      <w:pPr>
        <w:numPr>
          <w:ilvl w:val="0"/>
          <w:numId w:val="4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договоры с покупателями услуг и работ, подрядчиками и поставщиками;</w:t>
      </w:r>
    </w:p>
    <w:p w14:paraId="48AD461C">
      <w:pPr>
        <w:numPr>
          <w:ilvl w:val="0"/>
          <w:numId w:val="4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учредительные документы и свидетельства: постановка на учет, присвоение номеров, внесение записей в единый реестр, коды и т. п.;</w:t>
      </w:r>
    </w:p>
    <w:p w14:paraId="57E8B38B">
      <w:pPr>
        <w:numPr>
          <w:ilvl w:val="0"/>
          <w:numId w:val="4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14:paraId="3526E18F">
      <w:pPr>
        <w:numPr>
          <w:ilvl w:val="0"/>
          <w:numId w:val="4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 основных средствах, нематериальных активах и товарно-материальных ценностях;</w:t>
      </w:r>
    </w:p>
    <w:p w14:paraId="4C5F03AC">
      <w:pPr>
        <w:numPr>
          <w:ilvl w:val="0"/>
          <w:numId w:val="4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14:paraId="3315F5E2">
      <w:pPr>
        <w:numPr>
          <w:ilvl w:val="0"/>
          <w:numId w:val="4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акты сверки расчетов, подтверждающие состояние дебиторской и кредиторской задолженности, перечень нереальных к взысканию сумм дебиторской задолженности с исчерпывающей характеристикой по каждой сумме;</w:t>
      </w:r>
    </w:p>
    <w:p w14:paraId="4B3D7EE4">
      <w:pPr>
        <w:numPr>
          <w:ilvl w:val="0"/>
          <w:numId w:val="4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акты ревизий и проверок;</w:t>
      </w:r>
    </w:p>
    <w:p w14:paraId="1B691F55">
      <w:pPr>
        <w:numPr>
          <w:ilvl w:val="0"/>
          <w:numId w:val="4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материалы о недостачах и хищениях, переданных и не переданных в правоохранительные органы;</w:t>
      </w:r>
    </w:p>
    <w:p w14:paraId="6DC4712A">
      <w:pPr>
        <w:numPr>
          <w:ilvl w:val="0"/>
          <w:numId w:val="4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бланки строгой отчетности;</w:t>
      </w:r>
    </w:p>
    <w:p w14:paraId="3A749628">
      <w:pPr>
        <w:numPr>
          <w:ilvl w:val="0"/>
          <w:numId w:val="46"/>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иная бухгалтерская документация, свидетельствующая о деятельности учреждения.</w:t>
      </w:r>
    </w:p>
    <w:p w14:paraId="6289FFEB">
      <w:pPr>
        <w:spacing w:line="240" w:lineRule="auto"/>
        <w:rPr>
          <w:rFonts w:hAnsi="Times New Roman" w:cs="Times New Roman"/>
          <w:color w:val="000000"/>
          <w:sz w:val="24"/>
          <w:szCs w:val="24"/>
        </w:rPr>
      </w:pPr>
      <w:r>
        <w:rPr>
          <w:rFonts w:hAnsi="Times New Roman" w:cs="Times New Roman"/>
          <w:color w:val="000000"/>
          <w:sz w:val="24"/>
          <w:szCs w:val="24"/>
        </w:rPr>
        <w:t>6. При подписании акта приема-передачи при наличии возражений по пунктам акта руководитель и (или) уполномоченное лицо излагают их в письменной форме в присутствии комиссии.</w:t>
      </w:r>
    </w:p>
    <w:p w14:paraId="3340A3A3">
      <w:pPr>
        <w:spacing w:line="240" w:lineRule="auto"/>
        <w:rPr>
          <w:rFonts w:hAnsi="Times New Roman" w:cs="Times New Roman"/>
          <w:color w:val="000000"/>
          <w:sz w:val="24"/>
          <w:szCs w:val="24"/>
        </w:rPr>
      </w:pPr>
      <w:r>
        <w:rPr>
          <w:rFonts w:hAnsi="Times New Roman" w:cs="Times New Roman"/>
          <w:color w:val="000000"/>
          <w:sz w:val="24"/>
          <w:szCs w:val="24"/>
        </w:rPr>
        <w:t>Члены комиссии, имеющие замечания по содержанию акта, подписывают его с отметкой  «Замечания прилагаются». Текст замечаний излагается на отдельном листе, небольшие по объему замечания допускается фиксировать на самом акте.</w:t>
      </w:r>
    </w:p>
    <w:p w14:paraId="3268FC1F">
      <w:pPr>
        <w:spacing w:line="240" w:lineRule="auto"/>
        <w:rPr>
          <w:rFonts w:hAnsi="Times New Roman" w:cs="Times New Roman"/>
          <w:color w:val="000000"/>
          <w:sz w:val="24"/>
          <w:szCs w:val="24"/>
        </w:rPr>
      </w:pPr>
      <w:r>
        <w:rPr>
          <w:rFonts w:hAnsi="Times New Roman" w:cs="Times New Roman"/>
          <w:color w:val="000000"/>
          <w:sz w:val="24"/>
          <w:szCs w:val="24"/>
        </w:rPr>
        <w:t>7. Акт приема-передачи оформляется в последний рабочий день увольняемого лица в учреждении.</w:t>
      </w:r>
    </w:p>
    <w:p w14:paraId="4AD080E4">
      <w:pPr>
        <w:spacing w:line="240" w:lineRule="auto"/>
        <w:rPr>
          <w:rFonts w:hAnsi="Times New Roman" w:cs="Times New Roman"/>
          <w:color w:val="000000"/>
          <w:sz w:val="24"/>
          <w:szCs w:val="24"/>
        </w:rPr>
      </w:pPr>
      <w:r>
        <w:rPr>
          <w:rFonts w:hAnsi="Times New Roman" w:cs="Times New Roman"/>
          <w:color w:val="000000"/>
          <w:sz w:val="24"/>
          <w:szCs w:val="24"/>
        </w:rPr>
        <w:t>8. Акт приема-передачи дел составляется в трех экземплярах: 1-й экземпляр – учредителю (руководителю учреждения, если увольняется главный бухгалтер), 2-й экземпляр – увольняемому лицу, 3-й экземпляр – уполномоченному лицу, которое принимало дела.</w:t>
      </w:r>
    </w:p>
    <w:p w14:paraId="59A27242">
      <w:pPr>
        <w:spacing w:line="240" w:lineRule="auto"/>
        <w:rPr>
          <w:rFonts w:hAnsi="Times New Roman" w:cs="Times New Roman"/>
          <w:color w:val="000000"/>
          <w:sz w:val="24"/>
          <w:szCs w:val="24"/>
        </w:rPr>
      </w:pPr>
    </w:p>
    <w:tbl>
      <w:tblPr>
        <w:tblStyle w:val="4"/>
        <w:tblW w:w="5000" w:type="pct"/>
        <w:tblInd w:w="0" w:type="dxa"/>
        <w:tblLayout w:type="autofit"/>
        <w:tblCellMar>
          <w:top w:w="15" w:type="dxa"/>
          <w:left w:w="15" w:type="dxa"/>
          <w:bottom w:w="15" w:type="dxa"/>
          <w:right w:w="15" w:type="dxa"/>
        </w:tblCellMar>
      </w:tblPr>
      <w:tblGrid>
        <w:gridCol w:w="5832"/>
        <w:gridCol w:w="1499"/>
        <w:gridCol w:w="1846"/>
      </w:tblGrid>
      <w:tr w14:paraId="5A93C8B7">
        <w:tblPrEx>
          <w:tblCellMar>
            <w:top w:w="15" w:type="dxa"/>
            <w:left w:w="15" w:type="dxa"/>
            <w:bottom w:w="15" w:type="dxa"/>
            <w:right w:w="15" w:type="dxa"/>
          </w:tblCellMar>
        </w:tblPrEx>
        <w:trPr>
          <w:trHeight w:val="0" w:hRule="atLeast"/>
        </w:trPr>
        <w:tc>
          <w:tcPr>
            <w:tcW w:w="3178" w:type="pct"/>
            <w:tcMar>
              <w:top w:w="75" w:type="dxa"/>
              <w:left w:w="75" w:type="dxa"/>
              <w:bottom w:w="75" w:type="dxa"/>
              <w:right w:w="75" w:type="dxa"/>
            </w:tcMar>
            <w:vAlign w:val="bottom"/>
          </w:tcPr>
          <w:p w14:paraId="63982681">
            <w:pPr>
              <w:rPr>
                <w:rFonts w:hint="default"/>
                <w:lang w:val="ru-RU"/>
              </w:rPr>
            </w:pPr>
            <w:r>
              <w:rPr>
                <w:rFonts w:hAnsi="Times New Roman" w:cs="Times New Roman"/>
                <w:color w:val="000000"/>
                <w:sz w:val="24"/>
                <w:szCs w:val="24"/>
              </w:rPr>
              <w:t>Главный</w:t>
            </w:r>
            <w:r>
              <w:rPr>
                <w:rFonts w:hint="default" w:hAnsi="Times New Roman" w:cs="Times New Roman"/>
                <w:color w:val="000000"/>
                <w:sz w:val="24"/>
                <w:szCs w:val="24"/>
                <w:lang w:val="ru-RU"/>
              </w:rPr>
              <w:t xml:space="preserve"> специалист по ведению</w:t>
            </w:r>
            <w:r>
              <w:rPr>
                <w:rFonts w:hAnsi="Times New Roman" w:cs="Times New Roman"/>
                <w:color w:val="000000"/>
                <w:sz w:val="24"/>
                <w:szCs w:val="24"/>
              </w:rPr>
              <w:t xml:space="preserve"> </w:t>
            </w:r>
            <w:r>
              <w:rPr>
                <w:rFonts w:hAnsi="Times New Roman" w:cs="Times New Roman"/>
                <w:color w:val="000000"/>
                <w:sz w:val="24"/>
                <w:szCs w:val="24"/>
                <w:lang w:val="ru-RU"/>
              </w:rPr>
              <w:t>б</w:t>
            </w:r>
            <w:r>
              <w:rPr>
                <w:rFonts w:hAnsi="Times New Roman" w:cs="Times New Roman"/>
                <w:color w:val="000000"/>
                <w:sz w:val="24"/>
                <w:szCs w:val="24"/>
              </w:rPr>
              <w:t>ухгалтер</w:t>
            </w:r>
            <w:r>
              <w:rPr>
                <w:rFonts w:hAnsi="Times New Roman" w:cs="Times New Roman"/>
                <w:color w:val="000000"/>
                <w:sz w:val="24"/>
                <w:szCs w:val="24"/>
                <w:lang w:val="ru-RU"/>
              </w:rPr>
              <w:t>ского</w:t>
            </w:r>
            <w:r>
              <w:rPr>
                <w:rFonts w:hint="default" w:hAnsi="Times New Roman" w:cs="Times New Roman"/>
                <w:color w:val="000000"/>
                <w:sz w:val="24"/>
                <w:szCs w:val="24"/>
                <w:lang w:val="ru-RU"/>
              </w:rPr>
              <w:t xml:space="preserve"> учета</w:t>
            </w:r>
          </w:p>
        </w:tc>
        <w:tc>
          <w:tcPr>
            <w:tcW w:w="817" w:type="pct"/>
            <w:tcBorders>
              <w:top w:val="nil"/>
              <w:left w:val="nil"/>
              <w:bottom w:val="single" w:color="000000" w:sz="6" w:space="0"/>
              <w:right w:val="nil"/>
            </w:tcBorders>
            <w:tcMar>
              <w:top w:w="75" w:type="dxa"/>
              <w:left w:w="75" w:type="dxa"/>
              <w:bottom w:w="75" w:type="dxa"/>
              <w:right w:w="75" w:type="dxa"/>
            </w:tcMar>
            <w:vAlign w:val="top"/>
          </w:tcPr>
          <w:p w14:paraId="61CBE03C">
            <w:pPr>
              <w:spacing w:before="100" w:beforeAutospacing="1" w:after="100" w:afterAutospacing="1" w:line="240" w:lineRule="auto"/>
              <w:ind w:left="75" w:right="75"/>
              <w:rPr>
                <w:rFonts w:hAnsi="Times New Roman" w:cs="Times New Roman"/>
                <w:color w:val="000000"/>
                <w:sz w:val="24"/>
                <w:szCs w:val="24"/>
              </w:rPr>
            </w:pPr>
          </w:p>
        </w:tc>
        <w:tc>
          <w:tcPr>
            <w:tcW w:w="0" w:type="auto"/>
            <w:tcMar>
              <w:top w:w="75" w:type="dxa"/>
              <w:left w:w="75" w:type="dxa"/>
              <w:bottom w:w="75" w:type="dxa"/>
              <w:right w:w="75" w:type="dxa"/>
            </w:tcMar>
            <w:vAlign w:val="bottom"/>
          </w:tcPr>
          <w:p w14:paraId="6D4CCF5F">
            <w:pPr>
              <w:rPr>
                <w:rFonts w:hint="default"/>
                <w:lang w:val="ru-RU"/>
              </w:rPr>
            </w:pPr>
            <w:r>
              <w:rPr>
                <w:lang w:val="ru-RU"/>
              </w:rPr>
              <w:t>В</w:t>
            </w:r>
            <w:r>
              <w:rPr>
                <w:rFonts w:hint="default"/>
                <w:lang w:val="ru-RU"/>
              </w:rPr>
              <w:t>.П.Филонова</w:t>
            </w:r>
          </w:p>
        </w:tc>
      </w:tr>
      <w:tr w14:paraId="49DF9B6F">
        <w:tblPrEx>
          <w:tblCellMar>
            <w:top w:w="15" w:type="dxa"/>
            <w:left w:w="15" w:type="dxa"/>
            <w:bottom w:w="15" w:type="dxa"/>
            <w:right w:w="15" w:type="dxa"/>
          </w:tblCellMar>
        </w:tblPrEx>
        <w:trPr>
          <w:trHeight w:val="0" w:hRule="atLeast"/>
        </w:trPr>
        <w:tc>
          <w:tcPr>
            <w:tcW w:w="3178" w:type="pct"/>
            <w:tcMar>
              <w:top w:w="75" w:type="dxa"/>
              <w:left w:w="75" w:type="dxa"/>
              <w:bottom w:w="75" w:type="dxa"/>
              <w:right w:w="75" w:type="dxa"/>
            </w:tcMar>
            <w:vAlign w:val="center"/>
          </w:tcPr>
          <w:p w14:paraId="6CBCBEAD">
            <w:pPr>
              <w:spacing w:before="100" w:beforeAutospacing="1" w:after="100" w:afterAutospacing="1" w:line="240" w:lineRule="auto"/>
              <w:ind w:left="75" w:right="75"/>
              <w:rPr>
                <w:rFonts w:hAnsi="Times New Roman" w:cs="Times New Roman"/>
                <w:color w:val="000000"/>
                <w:sz w:val="24"/>
                <w:szCs w:val="24"/>
              </w:rPr>
            </w:pPr>
          </w:p>
        </w:tc>
        <w:tc>
          <w:tcPr>
            <w:tcW w:w="817" w:type="pct"/>
            <w:tcMar>
              <w:top w:w="75" w:type="dxa"/>
              <w:left w:w="75" w:type="dxa"/>
              <w:bottom w:w="75" w:type="dxa"/>
              <w:right w:w="75" w:type="dxa"/>
            </w:tcMar>
            <w:vAlign w:val="center"/>
          </w:tcPr>
          <w:p w14:paraId="58013CF6">
            <w:pPr>
              <w:spacing w:before="100" w:beforeAutospacing="1" w:after="100" w:afterAutospacing="1" w:line="240" w:lineRule="auto"/>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14:paraId="33E87BF8">
            <w:pPr>
              <w:spacing w:before="100" w:beforeAutospacing="1" w:after="100" w:afterAutospacing="1" w:line="240" w:lineRule="auto"/>
              <w:ind w:left="75" w:right="75"/>
              <w:rPr>
                <w:rFonts w:hAnsi="Times New Roman" w:cs="Times New Roman"/>
                <w:color w:val="000000"/>
                <w:sz w:val="24"/>
                <w:szCs w:val="24"/>
              </w:rPr>
            </w:pPr>
          </w:p>
        </w:tc>
      </w:tr>
    </w:tbl>
    <w:p w14:paraId="04EA5755"/>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8461FADE"/>
    <w:multiLevelType w:val="multilevel"/>
    <w:tmpl w:val="8461FAD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8CAEB125"/>
    <w:multiLevelType w:val="multilevel"/>
    <w:tmpl w:val="8CAEB12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91995D4F"/>
    <w:multiLevelType w:val="multilevel"/>
    <w:tmpl w:val="91995D4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9239341B"/>
    <w:multiLevelType w:val="multilevel"/>
    <w:tmpl w:val="9239341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9288B902"/>
    <w:multiLevelType w:val="multilevel"/>
    <w:tmpl w:val="9288B90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
    <w:nsid w:val="9C8AC8EF"/>
    <w:multiLevelType w:val="multilevel"/>
    <w:tmpl w:val="9C8AC8E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B0F1ACD9"/>
    <w:multiLevelType w:val="multilevel"/>
    <w:tmpl w:val="B0F1ACD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
    <w:nsid w:val="B5E306ED"/>
    <w:multiLevelType w:val="multilevel"/>
    <w:tmpl w:val="B5E306E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9">
    <w:nsid w:val="B8CEF35B"/>
    <w:multiLevelType w:val="multilevel"/>
    <w:tmpl w:val="B8CEF35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0">
    <w:nsid w:val="BB64CFA9"/>
    <w:multiLevelType w:val="multilevel"/>
    <w:tmpl w:val="BB64CFA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1">
    <w:nsid w:val="BE923771"/>
    <w:multiLevelType w:val="multilevel"/>
    <w:tmpl w:val="BE92377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2">
    <w:nsid w:val="BF205925"/>
    <w:multiLevelType w:val="multilevel"/>
    <w:tmpl w:val="BF20592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3">
    <w:nsid w:val="C178E842"/>
    <w:multiLevelType w:val="multilevel"/>
    <w:tmpl w:val="C178E842"/>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C8879AEF"/>
    <w:multiLevelType w:val="multilevel"/>
    <w:tmpl w:val="C8879AE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5">
    <w:nsid w:val="CF092B84"/>
    <w:multiLevelType w:val="multilevel"/>
    <w:tmpl w:val="CF092B8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6">
    <w:nsid w:val="D7F9FE59"/>
    <w:multiLevelType w:val="multilevel"/>
    <w:tmpl w:val="D7F9FE5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7">
    <w:nsid w:val="DCBA6B53"/>
    <w:multiLevelType w:val="multilevel"/>
    <w:tmpl w:val="DCBA6B5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8">
    <w:nsid w:val="E093A4B0"/>
    <w:multiLevelType w:val="multilevel"/>
    <w:tmpl w:val="E093A4B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9">
    <w:nsid w:val="F4B5D9F5"/>
    <w:multiLevelType w:val="multilevel"/>
    <w:tmpl w:val="F4B5D9F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0">
    <w:nsid w:val="F7735DC9"/>
    <w:multiLevelType w:val="multilevel"/>
    <w:tmpl w:val="F7735DC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1">
    <w:nsid w:val="0053208E"/>
    <w:multiLevelType w:val="multilevel"/>
    <w:tmpl w:val="0053208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2">
    <w:nsid w:val="0248C179"/>
    <w:multiLevelType w:val="multilevel"/>
    <w:tmpl w:val="0248C17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3">
    <w:nsid w:val="0E640482"/>
    <w:multiLevelType w:val="multilevel"/>
    <w:tmpl w:val="0E64048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4">
    <w:nsid w:val="1ACDE60F"/>
    <w:multiLevelType w:val="multilevel"/>
    <w:tmpl w:val="1ACDE60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5">
    <w:nsid w:val="243FCF68"/>
    <w:multiLevelType w:val="multilevel"/>
    <w:tmpl w:val="243FCF6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6">
    <w:nsid w:val="2470EC97"/>
    <w:multiLevelType w:val="multilevel"/>
    <w:tmpl w:val="2470EC9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7">
    <w:nsid w:val="25B654F3"/>
    <w:multiLevelType w:val="multilevel"/>
    <w:tmpl w:val="25B654F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8">
    <w:nsid w:val="2A8F537B"/>
    <w:multiLevelType w:val="multilevel"/>
    <w:tmpl w:val="2A8F537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9">
    <w:nsid w:val="30FC5B15"/>
    <w:multiLevelType w:val="multilevel"/>
    <w:tmpl w:val="30FC5B1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0">
    <w:nsid w:val="39A0D9AC"/>
    <w:multiLevelType w:val="multilevel"/>
    <w:tmpl w:val="39A0D9A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1">
    <w:nsid w:val="46A08BB8"/>
    <w:multiLevelType w:val="multilevel"/>
    <w:tmpl w:val="46A08BB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2">
    <w:nsid w:val="4C1BAE26"/>
    <w:multiLevelType w:val="multilevel"/>
    <w:tmpl w:val="4C1BAE2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3">
    <w:nsid w:val="4D94DA66"/>
    <w:multiLevelType w:val="multilevel"/>
    <w:tmpl w:val="4D94DA6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4">
    <w:nsid w:val="58765686"/>
    <w:multiLevelType w:val="multilevel"/>
    <w:tmpl w:val="5876568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5">
    <w:nsid w:val="59ADCABA"/>
    <w:multiLevelType w:val="multilevel"/>
    <w:tmpl w:val="59ADCAB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6">
    <w:nsid w:val="5A241D34"/>
    <w:multiLevelType w:val="multilevel"/>
    <w:tmpl w:val="5A241D3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7">
    <w:nsid w:val="5E29AB5A"/>
    <w:multiLevelType w:val="multilevel"/>
    <w:tmpl w:val="5E29AB5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8">
    <w:nsid w:val="5FFFB1A7"/>
    <w:multiLevelType w:val="multilevel"/>
    <w:tmpl w:val="5FFFB1A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9">
    <w:nsid w:val="60382F6E"/>
    <w:multiLevelType w:val="multilevel"/>
    <w:tmpl w:val="60382F6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0">
    <w:nsid w:val="629F7852"/>
    <w:multiLevelType w:val="multilevel"/>
    <w:tmpl w:val="629F785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1">
    <w:nsid w:val="72183CF9"/>
    <w:multiLevelType w:val="multilevel"/>
    <w:tmpl w:val="72183CF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2">
    <w:nsid w:val="77ECEA79"/>
    <w:multiLevelType w:val="multilevel"/>
    <w:tmpl w:val="77ECEA7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3">
    <w:nsid w:val="79AA4FA4"/>
    <w:multiLevelType w:val="multilevel"/>
    <w:tmpl w:val="79AA4FA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4">
    <w:nsid w:val="7C246926"/>
    <w:multiLevelType w:val="multilevel"/>
    <w:tmpl w:val="7C24692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5">
    <w:nsid w:val="7DEC2089"/>
    <w:multiLevelType w:val="multilevel"/>
    <w:tmpl w:val="7DEC208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13"/>
  </w:num>
  <w:num w:numId="2">
    <w:abstractNumId w:val="21"/>
  </w:num>
  <w:num w:numId="3">
    <w:abstractNumId w:val="15"/>
  </w:num>
  <w:num w:numId="4">
    <w:abstractNumId w:val="35"/>
  </w:num>
  <w:num w:numId="5">
    <w:abstractNumId w:val="12"/>
  </w:num>
  <w:num w:numId="6">
    <w:abstractNumId w:val="8"/>
  </w:num>
  <w:num w:numId="7">
    <w:abstractNumId w:val="27"/>
  </w:num>
  <w:num w:numId="8">
    <w:abstractNumId w:val="41"/>
  </w:num>
  <w:num w:numId="9">
    <w:abstractNumId w:val="22"/>
  </w:num>
  <w:num w:numId="10">
    <w:abstractNumId w:val="4"/>
  </w:num>
  <w:num w:numId="11">
    <w:abstractNumId w:val="28"/>
  </w:num>
  <w:num w:numId="12">
    <w:abstractNumId w:val="36"/>
  </w:num>
  <w:num w:numId="13">
    <w:abstractNumId w:val="14"/>
  </w:num>
  <w:num w:numId="14">
    <w:abstractNumId w:val="19"/>
  </w:num>
  <w:num w:numId="15">
    <w:abstractNumId w:val="26"/>
  </w:num>
  <w:num w:numId="16">
    <w:abstractNumId w:val="17"/>
  </w:num>
  <w:num w:numId="17">
    <w:abstractNumId w:val="16"/>
  </w:num>
  <w:num w:numId="18">
    <w:abstractNumId w:val="6"/>
  </w:num>
  <w:num w:numId="19">
    <w:abstractNumId w:val="32"/>
  </w:num>
  <w:num w:numId="20">
    <w:abstractNumId w:val="39"/>
  </w:num>
  <w:num w:numId="21">
    <w:abstractNumId w:val="23"/>
  </w:num>
  <w:num w:numId="22">
    <w:abstractNumId w:val="31"/>
  </w:num>
  <w:num w:numId="23">
    <w:abstractNumId w:val="7"/>
  </w:num>
  <w:num w:numId="24">
    <w:abstractNumId w:val="44"/>
  </w:num>
  <w:num w:numId="25">
    <w:abstractNumId w:val="42"/>
  </w:num>
  <w:num w:numId="26">
    <w:abstractNumId w:val="11"/>
  </w:num>
  <w:num w:numId="27">
    <w:abstractNumId w:val="40"/>
  </w:num>
  <w:num w:numId="28">
    <w:abstractNumId w:val="5"/>
  </w:num>
  <w:num w:numId="29">
    <w:abstractNumId w:val="30"/>
  </w:num>
  <w:num w:numId="30">
    <w:abstractNumId w:val="1"/>
  </w:num>
  <w:num w:numId="31">
    <w:abstractNumId w:val="34"/>
  </w:num>
  <w:num w:numId="32">
    <w:abstractNumId w:val="45"/>
  </w:num>
  <w:num w:numId="33">
    <w:abstractNumId w:val="0"/>
  </w:num>
  <w:num w:numId="34">
    <w:abstractNumId w:val="25"/>
  </w:num>
  <w:num w:numId="35">
    <w:abstractNumId w:val="33"/>
  </w:num>
  <w:num w:numId="36">
    <w:abstractNumId w:val="20"/>
  </w:num>
  <w:num w:numId="37">
    <w:abstractNumId w:val="18"/>
  </w:num>
  <w:num w:numId="38">
    <w:abstractNumId w:val="29"/>
  </w:num>
  <w:num w:numId="39">
    <w:abstractNumId w:val="43"/>
  </w:num>
  <w:num w:numId="40">
    <w:abstractNumId w:val="10"/>
  </w:num>
  <w:num w:numId="41">
    <w:abstractNumId w:val="3"/>
  </w:num>
  <w:num w:numId="42">
    <w:abstractNumId w:val="9"/>
  </w:num>
  <w:num w:numId="43">
    <w:abstractNumId w:val="37"/>
  </w:num>
  <w:num w:numId="44">
    <w:abstractNumId w:val="24"/>
  </w:num>
  <w:num w:numId="45">
    <w:abstractNumId w:val="2"/>
  </w:num>
  <w:num w:numId="4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 w:val="04AA66AD"/>
    <w:rsid w:val="04C73A2A"/>
    <w:rsid w:val="06AB17B5"/>
    <w:rsid w:val="09274C5A"/>
    <w:rsid w:val="0A5B1D77"/>
    <w:rsid w:val="0B7E0D1A"/>
    <w:rsid w:val="0BF26547"/>
    <w:rsid w:val="0D123979"/>
    <w:rsid w:val="0FB93067"/>
    <w:rsid w:val="16BD765C"/>
    <w:rsid w:val="170A775C"/>
    <w:rsid w:val="17D64BAC"/>
    <w:rsid w:val="1D6E58D8"/>
    <w:rsid w:val="1EC700F8"/>
    <w:rsid w:val="2679043D"/>
    <w:rsid w:val="2DA23444"/>
    <w:rsid w:val="30403384"/>
    <w:rsid w:val="310A6B03"/>
    <w:rsid w:val="35C4374E"/>
    <w:rsid w:val="3D6B1AE5"/>
    <w:rsid w:val="3EBF63D1"/>
    <w:rsid w:val="3ED2798E"/>
    <w:rsid w:val="3FD47EC6"/>
    <w:rsid w:val="436F06F1"/>
    <w:rsid w:val="48514E14"/>
    <w:rsid w:val="4879363B"/>
    <w:rsid w:val="4B0416D1"/>
    <w:rsid w:val="4DBA03DB"/>
    <w:rsid w:val="50BE6DE5"/>
    <w:rsid w:val="52CB0DE9"/>
    <w:rsid w:val="53D82AD4"/>
    <w:rsid w:val="56496D65"/>
    <w:rsid w:val="5780639C"/>
    <w:rsid w:val="5B632C4E"/>
    <w:rsid w:val="5CC73CE9"/>
    <w:rsid w:val="5D5C38DB"/>
    <w:rsid w:val="5D910F4F"/>
    <w:rsid w:val="603B26DF"/>
    <w:rsid w:val="66FA21C9"/>
    <w:rsid w:val="670F4976"/>
    <w:rsid w:val="6C16428E"/>
    <w:rsid w:val="6CC47D72"/>
    <w:rsid w:val="6F223D61"/>
    <w:rsid w:val="6F9F0CD7"/>
    <w:rsid w:val="70EB1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before="100" w:beforeAutospacing="1" w:after="100" w:afterAutospacing="1" w:line="240"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5"/>
    <w:qFormat/>
    <w:uiPriority w:val="9"/>
    <w:pPr>
      <w:keepNext/>
      <w:keepLines/>
      <w:outlineLvl w:val="0"/>
    </w:pPr>
    <w:rPr>
      <w:rFonts w:asciiTheme="majorHAnsi" w:hAnsiTheme="majorHAnsi" w:eastAsiaTheme="majorEastAsia" w:cstheme="majorBidi"/>
      <w:b/>
      <w:bCs/>
      <w:color w:val="376092" w:themeColor="accent1" w:themeShade="BF"/>
      <w:sz w:val="28"/>
      <w:szCs w:val="28"/>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customStyle="1" w:styleId="5">
    <w:name w:val="Heading 1 Char"/>
    <w:basedOn w:val="3"/>
    <w:link w:val="2"/>
    <w:qFormat/>
    <w:uiPriority w:val="9"/>
    <w:rPr>
      <w:rFonts w:asciiTheme="majorHAnsi" w:hAnsiTheme="majorHAnsi" w:eastAsiaTheme="majorEastAsia" w:cstheme="majorBidi"/>
      <w:b/>
      <w:bCs/>
      <w:color w:val="376092" w:themeColor="accent1" w:themeShade="BF"/>
      <w:sz w:val="28"/>
      <w:szCs w:val="28"/>
    </w:rPr>
  </w:style>
  <w:style w:type="paragraph" w:customStyle="1" w:styleId="6">
    <w:name w:val="Style1"/>
    <w:basedOn w:val="1"/>
    <w:qFormat/>
    <w:uiPriority w:val="99"/>
    <w:pPr>
      <w:spacing w:line="320" w:lineRule="exact"/>
      <w:ind w:firstLine="1601"/>
    </w:pPr>
  </w:style>
  <w:style w:type="character" w:customStyle="1" w:styleId="7">
    <w:name w:val="Font Style11"/>
    <w:autoRedefine/>
    <w:qFormat/>
    <w:uiPriority w:val="99"/>
    <w:rPr>
      <w:rFonts w:ascii="Times New Roman" w:hAnsi="Times New Roman" w:cs="Times New Roman"/>
      <w:b/>
      <w:bCs/>
      <w:sz w:val="26"/>
      <w:szCs w:val="26"/>
    </w:rPr>
  </w:style>
  <w:style w:type="paragraph" w:customStyle="1" w:styleId="8">
    <w:name w:val="Style2"/>
    <w:basedOn w:val="1"/>
    <w:qFormat/>
    <w:uiPriority w:val="99"/>
  </w:style>
  <w:style w:type="character" w:customStyle="1" w:styleId="9">
    <w:name w:val="Font Style12"/>
    <w:qFormat/>
    <w:uiPriority w:val="99"/>
    <w:rPr>
      <w:rFonts w:ascii="Times New Roman" w:hAnsi="Times New Roman" w:cs="Times New Roman"/>
      <w:b/>
      <w:bCs/>
      <w:sz w:val="22"/>
      <w:szCs w:val="22"/>
    </w:rPr>
  </w:style>
  <w:style w:type="paragraph" w:customStyle="1" w:styleId="10">
    <w:name w:val="Style4"/>
    <w:basedOn w:val="1"/>
    <w:autoRedefine/>
    <w:qFormat/>
    <w:uiPriority w:val="99"/>
  </w:style>
  <w:style w:type="character" w:customStyle="1" w:styleId="11">
    <w:name w:val="Font Style13"/>
    <w:qFormat/>
    <w:uiPriority w:val="99"/>
    <w:rPr>
      <w:rFonts w:ascii="Times New Roman" w:hAnsi="Times New Roman" w:cs="Times New Roman"/>
      <w:sz w:val="22"/>
      <w:szCs w:val="22"/>
    </w:rPr>
  </w:style>
  <w:style w:type="paragraph" w:customStyle="1" w:styleId="12">
    <w:name w:val="Normal unindented"/>
    <w:autoRedefine/>
    <w:qFormat/>
    <w:uiPriority w:val="0"/>
    <w:pPr>
      <w:spacing w:before="120" w:after="120" w:line="276" w:lineRule="auto"/>
      <w:jc w:val="both"/>
    </w:pPr>
    <w:rPr>
      <w:rFonts w:ascii="Times New Roman" w:hAnsi="Times New Roman" w:eastAsia="Times New Roman" w:cs="Times New Roman"/>
      <w:sz w:val="22"/>
      <w:szCs w:val="22"/>
      <w:lang w:val="ru-RU"/>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0</Words>
  <Characters>0</Characters>
  <Lines>0</Lines>
  <Paragraphs>0</Paragraphs>
  <TotalTime>7</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2011-11-02T04:15:00Z</dcterms:created>
  <dc:creator>Пользователь</dc:creator>
  <dc:description>Подготовлено экспертами Группы Актион</dc:description>
  <cp:lastModifiedBy>WPS_1709807479</cp:lastModifiedBy>
  <dcterms:modified xsi:type="dcterms:W3CDTF">2026-03-10T08:36:48Z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60305054C3134D998509791AF8348E90_13</vt:lpwstr>
  </property>
</Properties>
</file>